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434ED" w14:textId="1466B82E" w:rsidR="00A56D4B" w:rsidRPr="00D56247" w:rsidRDefault="00A56D4B" w:rsidP="00A56D4B">
      <w:pPr>
        <w:tabs>
          <w:tab w:val="center" w:pos="4536"/>
          <w:tab w:val="right" w:pos="7938"/>
          <w:tab w:val="right" w:pos="9639"/>
        </w:tabs>
        <w:ind w:right="2"/>
        <w:rPr>
          <w:rFonts w:cs="Arial"/>
          <w:b/>
          <w:bCs/>
          <w:sz w:val="24"/>
          <w:szCs w:val="18"/>
        </w:rPr>
      </w:pPr>
      <w:r w:rsidRPr="00D56247">
        <w:rPr>
          <w:rFonts w:cs="Arial"/>
          <w:b/>
          <w:bCs/>
          <w:sz w:val="24"/>
          <w:szCs w:val="18"/>
        </w:rPr>
        <w:t>3GPP TSG RAN WG1 #106</w:t>
      </w:r>
      <w:r w:rsidR="00AB3F44">
        <w:rPr>
          <w:rFonts w:cs="Arial"/>
          <w:b/>
          <w:bCs/>
          <w:sz w:val="24"/>
          <w:szCs w:val="18"/>
        </w:rPr>
        <w:t>bis</w:t>
      </w:r>
      <w:r w:rsidRPr="00D56247">
        <w:rPr>
          <w:rFonts w:cs="Arial"/>
          <w:b/>
          <w:bCs/>
          <w:sz w:val="24"/>
          <w:szCs w:val="18"/>
        </w:rPr>
        <w:t>-e</w:t>
      </w:r>
      <w:r w:rsidRPr="00D56247">
        <w:rPr>
          <w:rFonts w:cs="Arial"/>
          <w:b/>
          <w:bCs/>
          <w:sz w:val="24"/>
          <w:szCs w:val="18"/>
        </w:rPr>
        <w:tab/>
      </w:r>
      <w:proofErr w:type="gramStart"/>
      <w:r w:rsidRPr="00D56247">
        <w:rPr>
          <w:rFonts w:cs="Arial"/>
          <w:b/>
          <w:bCs/>
          <w:sz w:val="24"/>
          <w:szCs w:val="18"/>
        </w:rPr>
        <w:tab/>
        <w:t xml:space="preserve">  </w:t>
      </w:r>
      <w:r w:rsidRPr="00D56247">
        <w:rPr>
          <w:rFonts w:cs="Arial"/>
          <w:b/>
          <w:bCs/>
          <w:sz w:val="24"/>
          <w:szCs w:val="18"/>
        </w:rPr>
        <w:tab/>
      </w:r>
      <w:proofErr w:type="gramEnd"/>
      <w:r w:rsidRPr="00D56247">
        <w:rPr>
          <w:rFonts w:cs="Arial"/>
          <w:b/>
          <w:bCs/>
          <w:sz w:val="24"/>
          <w:szCs w:val="18"/>
        </w:rPr>
        <w:t>R1-</w:t>
      </w:r>
      <w:r w:rsidR="003F1681" w:rsidRPr="00D56247">
        <w:rPr>
          <w:rFonts w:cs="Arial"/>
          <w:b/>
          <w:bCs/>
          <w:sz w:val="24"/>
          <w:szCs w:val="18"/>
        </w:rPr>
        <w:t>210</w:t>
      </w:r>
      <w:r w:rsidR="003F1681">
        <w:rPr>
          <w:rFonts w:cs="Arial"/>
          <w:b/>
          <w:bCs/>
          <w:sz w:val="24"/>
          <w:szCs w:val="18"/>
        </w:rPr>
        <w:t>9881</w:t>
      </w:r>
    </w:p>
    <w:p w14:paraId="7ECF5138" w14:textId="350D22F0" w:rsidR="00A56D4B" w:rsidRPr="00D56247" w:rsidRDefault="00A56D4B" w:rsidP="00A56D4B">
      <w:pPr>
        <w:tabs>
          <w:tab w:val="center" w:pos="4536"/>
          <w:tab w:val="right" w:pos="9072"/>
        </w:tabs>
        <w:rPr>
          <w:rFonts w:eastAsia="MS Mincho" w:cs="Arial"/>
          <w:b/>
          <w:bCs/>
          <w:sz w:val="24"/>
          <w:szCs w:val="18"/>
          <w:lang w:eastAsia="ja-JP"/>
        </w:rPr>
      </w:pPr>
      <w:r w:rsidRPr="00D56247">
        <w:rPr>
          <w:rFonts w:eastAsia="MS Mincho" w:cs="Arial"/>
          <w:b/>
          <w:bCs/>
          <w:sz w:val="24"/>
          <w:szCs w:val="18"/>
          <w:lang w:eastAsia="ja-JP"/>
        </w:rPr>
        <w:t xml:space="preserve">e-Meeting, </w:t>
      </w:r>
      <w:r w:rsidR="00AB3F44">
        <w:rPr>
          <w:rFonts w:eastAsia="MS Mincho" w:cs="Arial"/>
          <w:b/>
          <w:bCs/>
          <w:sz w:val="24"/>
          <w:szCs w:val="18"/>
          <w:lang w:eastAsia="ja-JP"/>
        </w:rPr>
        <w:t>October</w:t>
      </w:r>
      <w:r w:rsidR="00AB3F44" w:rsidRPr="00D56247">
        <w:rPr>
          <w:rFonts w:eastAsia="MS Mincho" w:cs="Arial"/>
          <w:b/>
          <w:bCs/>
          <w:sz w:val="24"/>
          <w:szCs w:val="18"/>
          <w:lang w:eastAsia="ja-JP"/>
        </w:rPr>
        <w:t xml:space="preserve"> </w:t>
      </w:r>
      <w:r w:rsidRPr="00D56247">
        <w:rPr>
          <w:rFonts w:eastAsia="MS Mincho" w:cs="Arial"/>
          <w:b/>
          <w:bCs/>
          <w:sz w:val="24"/>
          <w:szCs w:val="18"/>
          <w:lang w:eastAsia="ja-JP"/>
        </w:rPr>
        <w:t>1</w:t>
      </w:r>
      <w:r w:rsidR="00AB3F44">
        <w:rPr>
          <w:rFonts w:eastAsia="MS Mincho" w:cs="Arial"/>
          <w:b/>
          <w:bCs/>
          <w:sz w:val="24"/>
          <w:szCs w:val="18"/>
          <w:lang w:eastAsia="ja-JP"/>
        </w:rPr>
        <w:t>1</w:t>
      </w:r>
      <w:r w:rsidRPr="00D56247">
        <w:rPr>
          <w:rFonts w:eastAsia="MS Mincho" w:cs="Arial"/>
          <w:b/>
          <w:bCs/>
          <w:sz w:val="24"/>
          <w:szCs w:val="18"/>
          <w:vertAlign w:val="superscript"/>
          <w:lang w:eastAsia="ja-JP"/>
        </w:rPr>
        <w:t>th</w:t>
      </w:r>
      <w:r w:rsidRPr="00D56247">
        <w:rPr>
          <w:rFonts w:eastAsia="MS Mincho" w:cs="Arial"/>
          <w:b/>
          <w:bCs/>
          <w:sz w:val="24"/>
          <w:szCs w:val="18"/>
          <w:lang w:eastAsia="ja-JP"/>
        </w:rPr>
        <w:t xml:space="preserve"> – </w:t>
      </w:r>
      <w:r w:rsidR="00AB3F44">
        <w:rPr>
          <w:rFonts w:eastAsia="MS Mincho" w:cs="Arial"/>
          <w:b/>
          <w:bCs/>
          <w:sz w:val="24"/>
          <w:szCs w:val="18"/>
          <w:lang w:eastAsia="ja-JP"/>
        </w:rPr>
        <w:t>19</w:t>
      </w:r>
      <w:r w:rsidR="00AB3F44" w:rsidRPr="00D56247">
        <w:rPr>
          <w:rFonts w:eastAsia="MS Mincho" w:cs="Arial"/>
          <w:b/>
          <w:bCs/>
          <w:sz w:val="24"/>
          <w:szCs w:val="18"/>
          <w:vertAlign w:val="superscript"/>
          <w:lang w:eastAsia="ja-JP"/>
        </w:rPr>
        <w:t>th</w:t>
      </w:r>
      <w:r w:rsidRPr="00D56247">
        <w:rPr>
          <w:rFonts w:eastAsia="MS Mincho" w:cs="Arial"/>
          <w:b/>
          <w:bCs/>
          <w:sz w:val="24"/>
          <w:szCs w:val="18"/>
          <w:lang w:eastAsia="ja-JP"/>
        </w:rPr>
        <w:t>, 2021</w:t>
      </w:r>
    </w:p>
    <w:p w14:paraId="4AA55D4D" w14:textId="77777777" w:rsidR="00E30291" w:rsidRPr="00B414B8" w:rsidRDefault="00E30291" w:rsidP="00214E6A">
      <w:pPr>
        <w:pStyle w:val="3GPPHeader"/>
        <w:rPr>
          <w:sz w:val="22"/>
          <w:szCs w:val="22"/>
        </w:rPr>
      </w:pPr>
    </w:p>
    <w:p w14:paraId="7AD14354" w14:textId="2E8BF792" w:rsidR="00214E6A" w:rsidRPr="00412DF3" w:rsidRDefault="00214E6A" w:rsidP="000A1519">
      <w:pPr>
        <w:pStyle w:val="3GPPHeader"/>
        <w:spacing w:after="120"/>
        <w:rPr>
          <w:sz w:val="22"/>
          <w:szCs w:val="22"/>
          <w:lang w:val="sv-SE"/>
        </w:rPr>
      </w:pPr>
      <w:r w:rsidRPr="00412DF3">
        <w:rPr>
          <w:sz w:val="22"/>
          <w:szCs w:val="22"/>
          <w:lang w:val="sv-SE"/>
        </w:rPr>
        <w:t>Agenda Item:</w:t>
      </w:r>
      <w:r w:rsidRPr="00412DF3">
        <w:rPr>
          <w:sz w:val="22"/>
          <w:szCs w:val="22"/>
          <w:lang w:val="sv-SE"/>
        </w:rPr>
        <w:tab/>
      </w:r>
      <w:r w:rsidR="00D91E82">
        <w:rPr>
          <w:sz w:val="22"/>
          <w:szCs w:val="22"/>
          <w:lang w:val="sv-SE"/>
        </w:rPr>
        <w:t>8.4.4</w:t>
      </w:r>
    </w:p>
    <w:p w14:paraId="4910E89F" w14:textId="1E30575B" w:rsidR="00214E6A" w:rsidRPr="00721025" w:rsidRDefault="00214E6A" w:rsidP="000A1519">
      <w:pPr>
        <w:pStyle w:val="3GPPHeader"/>
        <w:spacing w:after="120"/>
        <w:rPr>
          <w:sz w:val="22"/>
          <w:szCs w:val="22"/>
          <w:lang w:val="en-US"/>
        </w:rPr>
      </w:pPr>
      <w:r w:rsidRPr="00721025">
        <w:rPr>
          <w:sz w:val="22"/>
          <w:szCs w:val="22"/>
          <w:lang w:val="en-US"/>
        </w:rPr>
        <w:t>Source:</w:t>
      </w:r>
      <w:r w:rsidRPr="00721025">
        <w:rPr>
          <w:sz w:val="22"/>
          <w:szCs w:val="22"/>
          <w:lang w:val="en-US"/>
        </w:rPr>
        <w:tab/>
      </w:r>
      <w:proofErr w:type="spellStart"/>
      <w:r w:rsidRPr="00721025">
        <w:rPr>
          <w:sz w:val="22"/>
          <w:szCs w:val="22"/>
          <w:lang w:val="en-US"/>
        </w:rPr>
        <w:t>InterDigital</w:t>
      </w:r>
      <w:proofErr w:type="spellEnd"/>
      <w:r w:rsidR="000A1519">
        <w:rPr>
          <w:sz w:val="22"/>
          <w:szCs w:val="22"/>
          <w:lang w:val="en-US"/>
        </w:rPr>
        <w:t>, Inc.</w:t>
      </w:r>
    </w:p>
    <w:p w14:paraId="28B90663" w14:textId="3F561DBA" w:rsidR="00214E6A" w:rsidRPr="004A1A95" w:rsidRDefault="00214E6A" w:rsidP="000A1519">
      <w:pPr>
        <w:pStyle w:val="3GPPHeader"/>
        <w:spacing w:after="120"/>
        <w:jc w:val="left"/>
        <w:rPr>
          <w:color w:val="000000"/>
          <w:sz w:val="22"/>
          <w:szCs w:val="22"/>
        </w:rPr>
      </w:pPr>
      <w:r w:rsidRPr="004A1A95">
        <w:rPr>
          <w:sz w:val="22"/>
          <w:szCs w:val="22"/>
        </w:rPr>
        <w:t>Title:</w:t>
      </w:r>
      <w:r w:rsidRPr="004A1A95">
        <w:rPr>
          <w:sz w:val="22"/>
          <w:szCs w:val="22"/>
        </w:rPr>
        <w:tab/>
      </w:r>
      <w:r w:rsidR="00721025">
        <w:rPr>
          <w:sz w:val="22"/>
          <w:szCs w:val="22"/>
        </w:rPr>
        <w:t>On</w:t>
      </w:r>
      <w:r w:rsidR="00E30291">
        <w:rPr>
          <w:sz w:val="22"/>
          <w:szCs w:val="22"/>
        </w:rPr>
        <w:t xml:space="preserve"> beam management for NTN</w:t>
      </w:r>
    </w:p>
    <w:p w14:paraId="5D36C9A6" w14:textId="3106B6CB" w:rsidR="00214E6A" w:rsidRPr="004A1A95" w:rsidRDefault="00214E6A" w:rsidP="000A1519">
      <w:pPr>
        <w:pStyle w:val="3GPPHeader"/>
        <w:spacing w:after="120"/>
        <w:rPr>
          <w:sz w:val="22"/>
          <w:szCs w:val="22"/>
        </w:rPr>
      </w:pPr>
      <w:r w:rsidRPr="004A1A95">
        <w:rPr>
          <w:sz w:val="22"/>
          <w:szCs w:val="22"/>
        </w:rPr>
        <w:t>Document for:</w:t>
      </w:r>
      <w:r w:rsidRPr="004A1A95">
        <w:rPr>
          <w:sz w:val="22"/>
          <w:szCs w:val="22"/>
        </w:rPr>
        <w:tab/>
        <w:t>Discussion</w:t>
      </w:r>
      <w:r w:rsidR="00D91E82">
        <w:rPr>
          <w:sz w:val="22"/>
          <w:szCs w:val="22"/>
        </w:rPr>
        <w:t xml:space="preserve"> and</w:t>
      </w:r>
      <w:r w:rsidR="00D91E82" w:rsidRPr="004A1A95">
        <w:rPr>
          <w:sz w:val="22"/>
          <w:szCs w:val="22"/>
        </w:rPr>
        <w:t xml:space="preserve"> </w:t>
      </w:r>
      <w:r w:rsidRPr="004A1A95">
        <w:rPr>
          <w:sz w:val="22"/>
          <w:szCs w:val="22"/>
        </w:rPr>
        <w:t>Decision</w:t>
      </w:r>
    </w:p>
    <w:p w14:paraId="19E2BC4D" w14:textId="77777777" w:rsidR="00214E6A" w:rsidRDefault="00214E6A" w:rsidP="00214E6A">
      <w:pPr>
        <w:pStyle w:val="Heading1"/>
      </w:pPr>
      <w:r w:rsidRPr="004A1A95">
        <w:t>Introduction</w:t>
      </w:r>
    </w:p>
    <w:p w14:paraId="2B14710A" w14:textId="54021DC3" w:rsidR="008F5A4A" w:rsidRDefault="008F5A4A" w:rsidP="00001445">
      <w:pPr>
        <w:spacing w:line="276" w:lineRule="auto"/>
        <w:rPr>
          <w:rFonts w:cs="Arial"/>
          <w:sz w:val="22"/>
          <w:szCs w:val="22"/>
        </w:rPr>
      </w:pPr>
      <w:bookmarkStart w:id="0" w:name="_Hlk528874692"/>
      <w:r>
        <w:rPr>
          <w:rFonts w:cs="Arial"/>
          <w:sz w:val="22"/>
          <w:szCs w:val="22"/>
        </w:rPr>
        <w:t xml:space="preserve">In RAN1 </w:t>
      </w:r>
      <w:r w:rsidR="0025073D">
        <w:rPr>
          <w:rFonts w:cs="Arial"/>
          <w:sz w:val="22"/>
          <w:szCs w:val="22"/>
        </w:rPr>
        <w:t>#102e-#10</w:t>
      </w:r>
      <w:r w:rsidR="00AB3F44">
        <w:rPr>
          <w:rFonts w:cs="Arial"/>
          <w:sz w:val="22"/>
          <w:szCs w:val="22"/>
        </w:rPr>
        <w:t>6</w:t>
      </w:r>
      <w:r w:rsidR="0025073D">
        <w:rPr>
          <w:rFonts w:cs="Arial"/>
          <w:sz w:val="22"/>
          <w:szCs w:val="22"/>
        </w:rPr>
        <w:t>e</w:t>
      </w:r>
      <w:r>
        <w:rPr>
          <w:rFonts w:cs="Arial"/>
          <w:sz w:val="22"/>
          <w:szCs w:val="22"/>
        </w:rPr>
        <w:t>, the following agreement</w:t>
      </w:r>
      <w:r w:rsidR="0025073D">
        <w:rPr>
          <w:rFonts w:cs="Arial"/>
          <w:sz w:val="22"/>
          <w:szCs w:val="22"/>
        </w:rPr>
        <w:t>s</w:t>
      </w:r>
      <w:r>
        <w:rPr>
          <w:rFonts w:cs="Arial"/>
          <w:sz w:val="22"/>
          <w:szCs w:val="22"/>
        </w:rPr>
        <w:t xml:space="preserve"> ha</w:t>
      </w:r>
      <w:r w:rsidR="0025073D">
        <w:rPr>
          <w:rFonts w:cs="Arial"/>
          <w:sz w:val="22"/>
          <w:szCs w:val="22"/>
        </w:rPr>
        <w:t>ve</w:t>
      </w:r>
      <w:r>
        <w:rPr>
          <w:rFonts w:cs="Arial"/>
          <w:sz w:val="22"/>
          <w:szCs w:val="22"/>
        </w:rPr>
        <w:t xml:space="preserve"> been made as a progress for beam management and polarization with frequency reuse:</w:t>
      </w:r>
    </w:p>
    <w:p w14:paraId="20D949C8" w14:textId="0C0DFE76" w:rsidR="0025073D" w:rsidRDefault="0025073D" w:rsidP="00E74749">
      <w:pPr>
        <w:spacing w:after="0"/>
        <w:rPr>
          <w:i/>
          <w:iCs/>
          <w:highlight w:val="green"/>
          <w:lang w:eastAsia="x-none"/>
        </w:rPr>
      </w:pPr>
      <w:r w:rsidRPr="00E74749">
        <w:rPr>
          <w:rFonts w:cs="Arial"/>
          <w:b/>
          <w:bCs/>
          <w:sz w:val="22"/>
          <w:szCs w:val="22"/>
          <w:u w:val="single"/>
        </w:rPr>
        <w:t>RAN1 #102e</w:t>
      </w:r>
    </w:p>
    <w:p w14:paraId="47E03CC3" w14:textId="3118D612" w:rsidR="008F5A4A" w:rsidRPr="007C4E5D" w:rsidRDefault="008F5A4A" w:rsidP="00E74749">
      <w:pPr>
        <w:spacing w:after="0"/>
        <w:rPr>
          <w:i/>
          <w:iCs/>
          <w:lang w:eastAsia="x-none"/>
        </w:rPr>
      </w:pPr>
      <w:r w:rsidRPr="007C4E5D">
        <w:rPr>
          <w:i/>
          <w:iCs/>
          <w:highlight w:val="green"/>
          <w:lang w:eastAsia="x-none"/>
        </w:rPr>
        <w:t>Agreement:</w:t>
      </w:r>
    </w:p>
    <w:p w14:paraId="0087EDAB" w14:textId="77777777" w:rsidR="008F5A4A" w:rsidRPr="007C4E5D" w:rsidRDefault="008F5A4A" w:rsidP="00E74749">
      <w:pPr>
        <w:spacing w:after="0"/>
        <w:rPr>
          <w:i/>
          <w:iCs/>
          <w:lang w:eastAsia="x-none"/>
        </w:rPr>
      </w:pPr>
      <w:r w:rsidRPr="007C4E5D">
        <w:rPr>
          <w:i/>
          <w:iCs/>
          <w:lang w:eastAsia="x-none"/>
        </w:rPr>
        <w:t>One-beam per cell and multiple-beam per cell are supported in existing NR specifications and are baseline for NR NTN.</w:t>
      </w:r>
    </w:p>
    <w:p w14:paraId="79B57104" w14:textId="77777777" w:rsidR="008F5A4A" w:rsidRPr="007C4E5D" w:rsidRDefault="008F5A4A" w:rsidP="00534B3E">
      <w:pPr>
        <w:numPr>
          <w:ilvl w:val="0"/>
          <w:numId w:val="16"/>
        </w:numPr>
        <w:overflowPunct/>
        <w:autoSpaceDE/>
        <w:autoSpaceDN/>
        <w:adjustRightInd/>
        <w:spacing w:after="0"/>
        <w:jc w:val="left"/>
        <w:textAlignment w:val="auto"/>
        <w:rPr>
          <w:i/>
          <w:iCs/>
          <w:lang w:eastAsia="x-none"/>
        </w:rPr>
      </w:pPr>
      <w:r w:rsidRPr="007C4E5D">
        <w:rPr>
          <w:i/>
          <w:iCs/>
          <w:lang w:eastAsia="x-none"/>
        </w:rPr>
        <w:t xml:space="preserve">FFS: The need for potential enhancement for beam management </w:t>
      </w:r>
    </w:p>
    <w:p w14:paraId="40BD93A0" w14:textId="77777777" w:rsidR="008F5A4A" w:rsidRPr="007C4E5D" w:rsidRDefault="008F5A4A" w:rsidP="00E74749">
      <w:pPr>
        <w:numPr>
          <w:ilvl w:val="0"/>
          <w:numId w:val="16"/>
        </w:numPr>
        <w:overflowPunct/>
        <w:autoSpaceDE/>
        <w:autoSpaceDN/>
        <w:adjustRightInd/>
        <w:spacing w:after="0"/>
        <w:jc w:val="left"/>
        <w:textAlignment w:val="auto"/>
        <w:rPr>
          <w:i/>
          <w:iCs/>
          <w:lang w:eastAsia="x-none"/>
        </w:rPr>
      </w:pPr>
      <w:r w:rsidRPr="007C4E5D">
        <w:rPr>
          <w:i/>
          <w:iCs/>
          <w:lang w:eastAsia="x-none"/>
        </w:rPr>
        <w:t>FFS: The need for potential enhancement on association of SSBs, beams and BWPs</w:t>
      </w:r>
    </w:p>
    <w:p w14:paraId="43D5392A" w14:textId="77777777" w:rsidR="008F5A4A" w:rsidRPr="007C4E5D" w:rsidRDefault="008F5A4A" w:rsidP="00E74749">
      <w:pPr>
        <w:spacing w:after="0"/>
        <w:rPr>
          <w:i/>
          <w:iCs/>
          <w:lang w:eastAsia="x-none"/>
        </w:rPr>
      </w:pPr>
    </w:p>
    <w:p w14:paraId="65FEEA81" w14:textId="77777777" w:rsidR="008F5A4A" w:rsidRPr="007C4E5D" w:rsidRDefault="008F5A4A" w:rsidP="00E74749">
      <w:pPr>
        <w:spacing w:after="0"/>
        <w:rPr>
          <w:i/>
          <w:iCs/>
          <w:lang w:eastAsia="x-none"/>
        </w:rPr>
      </w:pPr>
      <w:r w:rsidRPr="007C4E5D">
        <w:rPr>
          <w:i/>
          <w:iCs/>
          <w:highlight w:val="green"/>
          <w:lang w:eastAsia="x-none"/>
        </w:rPr>
        <w:t>Agreement:</w:t>
      </w:r>
    </w:p>
    <w:p w14:paraId="7F77466E" w14:textId="77777777" w:rsidR="008F5A4A" w:rsidRPr="007C4E5D" w:rsidRDefault="008F5A4A" w:rsidP="00E74749">
      <w:pPr>
        <w:spacing w:after="0"/>
        <w:rPr>
          <w:bCs/>
          <w:i/>
          <w:iCs/>
          <w:lang w:eastAsia="x-none"/>
        </w:rPr>
      </w:pPr>
      <w:r w:rsidRPr="007C4E5D">
        <w:rPr>
          <w:bCs/>
          <w:i/>
          <w:iCs/>
          <w:lang w:eastAsia="x-none"/>
        </w:rPr>
        <w:t>Potential enhancements for support of polarisation signalling in NR NTN can consider at least the following:</w:t>
      </w:r>
    </w:p>
    <w:p w14:paraId="1DD5D58F" w14:textId="77777777" w:rsidR="008F5A4A" w:rsidRPr="007C4E5D" w:rsidRDefault="008F5A4A" w:rsidP="00534B3E">
      <w:pPr>
        <w:numPr>
          <w:ilvl w:val="0"/>
          <w:numId w:val="17"/>
        </w:numPr>
        <w:overflowPunct/>
        <w:autoSpaceDE/>
        <w:autoSpaceDN/>
        <w:adjustRightInd/>
        <w:spacing w:after="0"/>
        <w:jc w:val="left"/>
        <w:textAlignment w:val="auto"/>
        <w:rPr>
          <w:bCs/>
          <w:i/>
          <w:iCs/>
          <w:lang w:eastAsia="x-none"/>
        </w:rPr>
      </w:pPr>
      <w:r w:rsidRPr="007C4E5D">
        <w:rPr>
          <w:bCs/>
          <w:i/>
          <w:iCs/>
          <w:lang w:eastAsia="x-none"/>
        </w:rPr>
        <w:t xml:space="preserve">Configuration of DL and UL transmit polarization including Right hand and Left hand circular polarizations (RHCP, LHCP) </w:t>
      </w:r>
    </w:p>
    <w:p w14:paraId="2F6EA27F" w14:textId="77777777" w:rsidR="008F5A4A" w:rsidRPr="007C4E5D" w:rsidRDefault="008F5A4A" w:rsidP="00E74749">
      <w:pPr>
        <w:numPr>
          <w:ilvl w:val="0"/>
          <w:numId w:val="17"/>
        </w:numPr>
        <w:overflowPunct/>
        <w:autoSpaceDE/>
        <w:autoSpaceDN/>
        <w:adjustRightInd/>
        <w:spacing w:after="0"/>
        <w:jc w:val="left"/>
        <w:textAlignment w:val="auto"/>
        <w:rPr>
          <w:bCs/>
          <w:i/>
          <w:iCs/>
          <w:lang w:eastAsia="x-none"/>
        </w:rPr>
      </w:pPr>
      <w:r w:rsidRPr="007C4E5D">
        <w:rPr>
          <w:bCs/>
          <w:i/>
          <w:iCs/>
          <w:lang w:eastAsia="x-none"/>
        </w:rPr>
        <w:t xml:space="preserve">Network broadcast DL and UL transmit polarization configuration  </w:t>
      </w:r>
    </w:p>
    <w:p w14:paraId="425CA9EB" w14:textId="77777777" w:rsidR="008F5A4A" w:rsidRPr="007C4E5D" w:rsidRDefault="008F5A4A" w:rsidP="00E74749">
      <w:pPr>
        <w:numPr>
          <w:ilvl w:val="0"/>
          <w:numId w:val="17"/>
        </w:numPr>
        <w:overflowPunct/>
        <w:autoSpaceDE/>
        <w:autoSpaceDN/>
        <w:adjustRightInd/>
        <w:spacing w:after="0"/>
        <w:jc w:val="left"/>
        <w:textAlignment w:val="auto"/>
        <w:rPr>
          <w:bCs/>
          <w:i/>
          <w:iCs/>
          <w:lang w:eastAsia="x-none"/>
        </w:rPr>
      </w:pPr>
      <w:r w:rsidRPr="007C4E5D">
        <w:rPr>
          <w:bCs/>
          <w:i/>
          <w:iCs/>
          <w:lang w:eastAsia="x-none"/>
        </w:rPr>
        <w:t>UE polarization capability (RHCP, LHCP, Linear)</w:t>
      </w:r>
    </w:p>
    <w:p w14:paraId="77EF76A8" w14:textId="77777777" w:rsidR="008F5A4A" w:rsidRPr="007C4E5D" w:rsidRDefault="008F5A4A" w:rsidP="00E74749">
      <w:pPr>
        <w:numPr>
          <w:ilvl w:val="0"/>
          <w:numId w:val="17"/>
        </w:numPr>
        <w:overflowPunct/>
        <w:autoSpaceDE/>
        <w:autoSpaceDN/>
        <w:adjustRightInd/>
        <w:spacing w:after="0"/>
        <w:jc w:val="left"/>
        <w:textAlignment w:val="auto"/>
        <w:rPr>
          <w:bCs/>
          <w:i/>
          <w:iCs/>
          <w:lang w:eastAsia="x-none"/>
        </w:rPr>
      </w:pPr>
      <w:r w:rsidRPr="007C4E5D">
        <w:rPr>
          <w:bCs/>
          <w:i/>
          <w:iCs/>
          <w:lang w:eastAsia="x-none"/>
        </w:rPr>
        <w:t>Dependence of polarisation signaling on deployment scenarios. For example,</w:t>
      </w:r>
    </w:p>
    <w:p w14:paraId="38A80684" w14:textId="77777777" w:rsidR="008F5A4A" w:rsidRPr="007C4E5D" w:rsidRDefault="008F5A4A" w:rsidP="00E74749">
      <w:pPr>
        <w:numPr>
          <w:ilvl w:val="1"/>
          <w:numId w:val="17"/>
        </w:numPr>
        <w:overflowPunct/>
        <w:autoSpaceDE/>
        <w:autoSpaceDN/>
        <w:adjustRightInd/>
        <w:spacing w:after="0"/>
        <w:jc w:val="left"/>
        <w:textAlignment w:val="auto"/>
        <w:rPr>
          <w:bCs/>
          <w:i/>
          <w:iCs/>
          <w:lang w:eastAsia="x-none"/>
        </w:rPr>
      </w:pPr>
      <w:r w:rsidRPr="007C4E5D">
        <w:rPr>
          <w:bCs/>
          <w:i/>
          <w:iCs/>
          <w:lang w:eastAsia="x-none"/>
        </w:rPr>
        <w:t xml:space="preserve">Resource reuse mode with/without polarization for the beam management enhancement </w:t>
      </w:r>
    </w:p>
    <w:p w14:paraId="210EB69E" w14:textId="77777777" w:rsidR="008F5A4A" w:rsidRPr="007C4E5D" w:rsidRDefault="008F5A4A" w:rsidP="00E74749">
      <w:pPr>
        <w:numPr>
          <w:ilvl w:val="1"/>
          <w:numId w:val="17"/>
        </w:numPr>
        <w:overflowPunct/>
        <w:autoSpaceDE/>
        <w:autoSpaceDN/>
        <w:adjustRightInd/>
        <w:spacing w:after="0"/>
        <w:jc w:val="left"/>
        <w:textAlignment w:val="auto"/>
        <w:rPr>
          <w:bCs/>
          <w:i/>
          <w:iCs/>
          <w:lang w:eastAsia="x-none"/>
        </w:rPr>
      </w:pPr>
      <w:r w:rsidRPr="007C4E5D">
        <w:rPr>
          <w:bCs/>
          <w:i/>
          <w:iCs/>
          <w:lang w:eastAsia="x-none"/>
        </w:rPr>
        <w:t xml:space="preserve">Fixed polarization per cell/beam for polarization reuse and circular polarisation with intra-UE and inter-UE multiplexing (intra-UE and inter-UE) signalling </w:t>
      </w:r>
    </w:p>
    <w:p w14:paraId="178B49C3" w14:textId="4EFC6AF2" w:rsidR="008F5A4A" w:rsidRDefault="008F5A4A" w:rsidP="00E74749">
      <w:pPr>
        <w:spacing w:after="0"/>
        <w:rPr>
          <w:rFonts w:cs="Arial"/>
          <w:sz w:val="22"/>
          <w:szCs w:val="22"/>
        </w:rPr>
      </w:pPr>
    </w:p>
    <w:p w14:paraId="60809B32" w14:textId="1C5B9CEE" w:rsidR="0025073D" w:rsidRDefault="0025073D" w:rsidP="00E74749">
      <w:pPr>
        <w:spacing w:after="0"/>
        <w:rPr>
          <w:rFonts w:cs="Arial"/>
          <w:sz w:val="22"/>
          <w:szCs w:val="22"/>
        </w:rPr>
      </w:pPr>
      <w:r w:rsidRPr="008A175D">
        <w:rPr>
          <w:rFonts w:cs="Arial"/>
          <w:b/>
          <w:bCs/>
          <w:sz w:val="22"/>
          <w:szCs w:val="22"/>
          <w:u w:val="single"/>
        </w:rPr>
        <w:t>RAN1 #10</w:t>
      </w:r>
      <w:r>
        <w:rPr>
          <w:rFonts w:cs="Arial"/>
          <w:b/>
          <w:bCs/>
          <w:sz w:val="22"/>
          <w:szCs w:val="22"/>
          <w:u w:val="single"/>
        </w:rPr>
        <w:t>3</w:t>
      </w:r>
      <w:r w:rsidRPr="008A175D">
        <w:rPr>
          <w:rFonts w:cs="Arial"/>
          <w:b/>
          <w:bCs/>
          <w:sz w:val="22"/>
          <w:szCs w:val="22"/>
          <w:u w:val="single"/>
        </w:rPr>
        <w:t>e</w:t>
      </w:r>
    </w:p>
    <w:p w14:paraId="31F02AD7" w14:textId="77777777" w:rsidR="00B414B8" w:rsidRPr="00B414B8" w:rsidRDefault="00B414B8" w:rsidP="00E74749">
      <w:pPr>
        <w:spacing w:after="0"/>
        <w:rPr>
          <w:i/>
          <w:iCs/>
          <w:lang w:eastAsia="x-none"/>
        </w:rPr>
      </w:pPr>
      <w:r w:rsidRPr="00B414B8">
        <w:rPr>
          <w:i/>
          <w:iCs/>
          <w:highlight w:val="green"/>
          <w:lang w:eastAsia="x-none"/>
        </w:rPr>
        <w:t>Agreement:</w:t>
      </w:r>
    </w:p>
    <w:p w14:paraId="65A841E3" w14:textId="77777777" w:rsidR="00B414B8" w:rsidRPr="00B414B8" w:rsidRDefault="00B414B8" w:rsidP="00E74749">
      <w:pPr>
        <w:spacing w:after="0"/>
        <w:rPr>
          <w:i/>
          <w:iCs/>
          <w:lang w:eastAsia="x-none"/>
        </w:rPr>
      </w:pPr>
      <w:r w:rsidRPr="00B414B8">
        <w:rPr>
          <w:i/>
          <w:iCs/>
          <w:lang w:eastAsia="x-none"/>
        </w:rPr>
        <w:t xml:space="preserve">Indication of polarization information for DL and UL by the network is supported. </w:t>
      </w:r>
    </w:p>
    <w:p w14:paraId="02F47BC2" w14:textId="77777777" w:rsidR="00B414B8" w:rsidRPr="00B414B8" w:rsidRDefault="00B414B8" w:rsidP="00534B3E">
      <w:pPr>
        <w:numPr>
          <w:ilvl w:val="0"/>
          <w:numId w:val="18"/>
        </w:numPr>
        <w:overflowPunct/>
        <w:autoSpaceDE/>
        <w:autoSpaceDN/>
        <w:adjustRightInd/>
        <w:spacing w:after="0"/>
        <w:jc w:val="left"/>
        <w:textAlignment w:val="auto"/>
        <w:rPr>
          <w:i/>
          <w:iCs/>
          <w:lang w:eastAsia="x-none"/>
        </w:rPr>
      </w:pPr>
      <w:r w:rsidRPr="00B414B8">
        <w:rPr>
          <w:i/>
          <w:iCs/>
          <w:lang w:eastAsia="x-none"/>
        </w:rPr>
        <w:t>FFS: Signaling details</w:t>
      </w:r>
    </w:p>
    <w:p w14:paraId="33D949C7" w14:textId="7B638C82" w:rsidR="00B414B8" w:rsidRDefault="00B414B8" w:rsidP="00E74749">
      <w:pPr>
        <w:spacing w:after="0"/>
        <w:rPr>
          <w:rFonts w:cs="Arial"/>
          <w:sz w:val="22"/>
          <w:szCs w:val="22"/>
        </w:rPr>
      </w:pPr>
    </w:p>
    <w:p w14:paraId="35125542" w14:textId="68689EA6" w:rsidR="0025073D" w:rsidRDefault="0025073D" w:rsidP="00E74749">
      <w:pPr>
        <w:spacing w:after="0"/>
        <w:rPr>
          <w:rFonts w:cs="Arial"/>
          <w:sz w:val="22"/>
          <w:szCs w:val="22"/>
        </w:rPr>
      </w:pPr>
      <w:r w:rsidRPr="008A175D">
        <w:rPr>
          <w:rFonts w:cs="Arial"/>
          <w:b/>
          <w:bCs/>
          <w:sz w:val="22"/>
          <w:szCs w:val="22"/>
          <w:u w:val="single"/>
        </w:rPr>
        <w:t>RAN1 #10</w:t>
      </w:r>
      <w:r>
        <w:rPr>
          <w:rFonts w:cs="Arial"/>
          <w:b/>
          <w:bCs/>
          <w:sz w:val="22"/>
          <w:szCs w:val="22"/>
          <w:u w:val="single"/>
        </w:rPr>
        <w:t>4</w:t>
      </w:r>
      <w:r w:rsidRPr="008A175D">
        <w:rPr>
          <w:rFonts w:cs="Arial"/>
          <w:b/>
          <w:bCs/>
          <w:sz w:val="22"/>
          <w:szCs w:val="22"/>
          <w:u w:val="single"/>
        </w:rPr>
        <w:t>e</w:t>
      </w:r>
    </w:p>
    <w:p w14:paraId="5491CA8A" w14:textId="77777777" w:rsidR="0025073D" w:rsidRPr="00E74749" w:rsidRDefault="0025073D" w:rsidP="00E74749">
      <w:pPr>
        <w:spacing w:after="0"/>
        <w:rPr>
          <w:rFonts w:eastAsia="Malgun Gothic" w:cs="Arial"/>
          <w:bCs/>
          <w:i/>
          <w:iCs/>
          <w:color w:val="000000"/>
          <w:lang w:eastAsia="ko-KR"/>
        </w:rPr>
      </w:pPr>
      <w:r w:rsidRPr="00E74749">
        <w:rPr>
          <w:rFonts w:eastAsia="Malgun Gothic" w:cs="Arial"/>
          <w:bCs/>
          <w:i/>
          <w:iCs/>
          <w:color w:val="000000"/>
          <w:highlight w:val="green"/>
          <w:lang w:eastAsia="ko-KR"/>
        </w:rPr>
        <w:t>Agreement:</w:t>
      </w:r>
    </w:p>
    <w:p w14:paraId="7813F296" w14:textId="77777777" w:rsidR="0025073D" w:rsidRPr="00E74749" w:rsidRDefault="0025073D" w:rsidP="00E74749">
      <w:pPr>
        <w:spacing w:after="0"/>
        <w:rPr>
          <w:rFonts w:cs="Arial"/>
          <w:i/>
          <w:iCs/>
          <w:color w:val="000000"/>
        </w:rPr>
      </w:pPr>
      <w:r w:rsidRPr="00E74749">
        <w:rPr>
          <w:rFonts w:eastAsia="Malgun Gothic" w:cs="Arial"/>
          <w:bCs/>
          <w:i/>
          <w:iCs/>
          <w:color w:val="000000"/>
          <w:lang w:eastAsia="ko-KR"/>
        </w:rPr>
        <w:t xml:space="preserve">Support </w:t>
      </w:r>
      <w:r w:rsidRPr="00E74749">
        <w:rPr>
          <w:rFonts w:eastAsia="Malgun Gothic" w:cs="Arial"/>
          <w:i/>
          <w:iCs/>
          <w:color w:val="000000"/>
          <w:lang w:eastAsia="ko-KR"/>
        </w:rPr>
        <w:t>at least</w:t>
      </w:r>
      <w:r w:rsidRPr="00E74749">
        <w:rPr>
          <w:rFonts w:eastAsia="Malgun Gothic" w:cs="Arial"/>
          <w:bCs/>
          <w:i/>
          <w:iCs/>
          <w:color w:val="000000"/>
          <w:lang w:eastAsia="ko-KR"/>
        </w:rPr>
        <w:t xml:space="preserve"> explicit indication of polarization information for DL by the network</w:t>
      </w:r>
    </w:p>
    <w:p w14:paraId="304E5842" w14:textId="77777777" w:rsidR="0025073D" w:rsidRPr="00E74749" w:rsidRDefault="0025073D" w:rsidP="00534B3E">
      <w:pPr>
        <w:numPr>
          <w:ilvl w:val="0"/>
          <w:numId w:val="19"/>
        </w:numPr>
        <w:overflowPunct/>
        <w:autoSpaceDE/>
        <w:autoSpaceDN/>
        <w:adjustRightInd/>
        <w:spacing w:after="0"/>
        <w:jc w:val="left"/>
        <w:textAlignment w:val="auto"/>
        <w:rPr>
          <w:rFonts w:cs="Arial"/>
          <w:i/>
          <w:iCs/>
        </w:rPr>
      </w:pPr>
      <w:r w:rsidRPr="00E74749">
        <w:rPr>
          <w:rFonts w:eastAsia="Malgun Gothic" w:cs="Arial"/>
          <w:bCs/>
          <w:i/>
          <w:iCs/>
          <w:color w:val="000000"/>
          <w:lang w:eastAsia="ko-KR"/>
        </w:rPr>
        <w:t>FFS: whether the indication is done by SIB, other RRC signaling, DCI</w:t>
      </w:r>
      <w:r w:rsidRPr="00E74749">
        <w:rPr>
          <w:rFonts w:eastAsia="Malgun Gothic" w:cs="Arial"/>
          <w:bCs/>
          <w:i/>
          <w:iCs/>
          <w:lang w:eastAsia="ko-KR"/>
        </w:rPr>
        <w:t>.</w:t>
      </w:r>
    </w:p>
    <w:p w14:paraId="489CA7E1" w14:textId="77777777" w:rsidR="0025073D" w:rsidRPr="00E74749" w:rsidRDefault="0025073D" w:rsidP="00E74749">
      <w:pPr>
        <w:numPr>
          <w:ilvl w:val="0"/>
          <w:numId w:val="19"/>
        </w:numPr>
        <w:overflowPunct/>
        <w:autoSpaceDE/>
        <w:autoSpaceDN/>
        <w:adjustRightInd/>
        <w:spacing w:after="0"/>
        <w:jc w:val="left"/>
        <w:textAlignment w:val="auto"/>
        <w:rPr>
          <w:rFonts w:cs="Arial"/>
          <w:i/>
          <w:iCs/>
          <w:color w:val="000000"/>
        </w:rPr>
      </w:pPr>
      <w:r w:rsidRPr="00E74749">
        <w:rPr>
          <w:rFonts w:eastAsia="Malgun Gothic" w:cs="Arial"/>
          <w:bCs/>
          <w:i/>
          <w:iCs/>
          <w:color w:val="000000"/>
          <w:lang w:eastAsia="ko-KR"/>
        </w:rPr>
        <w:t>FFS: Whether separate signaling is needed for the UL</w:t>
      </w:r>
      <w:r w:rsidRPr="00E74749">
        <w:rPr>
          <w:rFonts w:cs="Arial"/>
          <w:i/>
          <w:iCs/>
          <w:color w:val="000000"/>
        </w:rPr>
        <w:t xml:space="preserve"> and if so, </w:t>
      </w:r>
      <w:r w:rsidRPr="00E74749">
        <w:rPr>
          <w:rFonts w:eastAsia="Malgun Gothic" w:cs="Arial"/>
          <w:bCs/>
          <w:i/>
          <w:iCs/>
          <w:color w:val="000000"/>
          <w:lang w:eastAsia="ko-KR"/>
        </w:rPr>
        <w:t>whether or not a same polarization is indicated for DL and UL</w:t>
      </w:r>
    </w:p>
    <w:p w14:paraId="3CE13CA7" w14:textId="77777777" w:rsidR="0025073D" w:rsidRPr="00E74749" w:rsidRDefault="0025073D" w:rsidP="00E74749">
      <w:pPr>
        <w:spacing w:after="0"/>
        <w:rPr>
          <w:i/>
          <w:iCs/>
          <w:lang w:eastAsia="x-none"/>
        </w:rPr>
      </w:pPr>
    </w:p>
    <w:p w14:paraId="27E0AB4F" w14:textId="77777777" w:rsidR="0025073D" w:rsidRPr="00E74749" w:rsidRDefault="0025073D" w:rsidP="00E74749">
      <w:pPr>
        <w:shd w:val="clear" w:color="auto" w:fill="FFFFFF"/>
        <w:spacing w:after="0"/>
        <w:rPr>
          <w:rFonts w:eastAsia="SimSun"/>
          <w:i/>
          <w:iCs/>
          <w:color w:val="000000"/>
          <w:u w:val="single"/>
          <w:lang w:val="en-US"/>
        </w:rPr>
      </w:pPr>
      <w:r w:rsidRPr="00E74749">
        <w:rPr>
          <w:rFonts w:eastAsia="SimSun"/>
          <w:i/>
          <w:iCs/>
          <w:color w:val="000000"/>
          <w:u w:val="single"/>
          <w:lang w:val="en-US"/>
        </w:rPr>
        <w:t>Conclusion:</w:t>
      </w:r>
    </w:p>
    <w:p w14:paraId="7118CAF7" w14:textId="77777777" w:rsidR="0025073D" w:rsidRPr="00E74749" w:rsidRDefault="0025073D" w:rsidP="00E74749">
      <w:pPr>
        <w:shd w:val="clear" w:color="auto" w:fill="FFFFFF"/>
        <w:spacing w:after="0"/>
        <w:rPr>
          <w:rFonts w:eastAsia="SimSun"/>
          <w:i/>
          <w:iCs/>
          <w:color w:val="000000"/>
          <w:lang w:val="en-US"/>
        </w:rPr>
      </w:pPr>
      <w:r w:rsidRPr="00E74749">
        <w:rPr>
          <w:rFonts w:eastAsia="SimSun"/>
          <w:i/>
          <w:iCs/>
          <w:color w:val="000000"/>
        </w:rPr>
        <w:t>Discuss whether or not</w:t>
      </w:r>
      <w:r w:rsidRPr="00E74749">
        <w:rPr>
          <w:rFonts w:eastAsia="SimSun"/>
          <w:i/>
          <w:iCs/>
          <w:color w:val="FF0000"/>
        </w:rPr>
        <w:t xml:space="preserve"> </w:t>
      </w:r>
      <w:r w:rsidRPr="00E74749">
        <w:rPr>
          <w:rFonts w:eastAsia="SimSun"/>
          <w:i/>
          <w:iCs/>
        </w:rPr>
        <w:t>at least</w:t>
      </w:r>
      <w:r w:rsidRPr="00E74749">
        <w:rPr>
          <w:rFonts w:eastAsia="SimSun"/>
          <w:i/>
          <w:iCs/>
          <w:color w:val="FF0000"/>
        </w:rPr>
        <w:t> </w:t>
      </w:r>
      <w:r w:rsidRPr="00E74749">
        <w:rPr>
          <w:rFonts w:eastAsia="SimSun"/>
          <w:i/>
          <w:iCs/>
          <w:color w:val="000000"/>
        </w:rPr>
        <w:t>following issues are valid and decide whether or not enhancements are needed in addition to current NR specification for supporting NTN beam management:</w:t>
      </w:r>
    </w:p>
    <w:p w14:paraId="5F2F5AB1" w14:textId="77777777" w:rsidR="0025073D" w:rsidRPr="00E74749" w:rsidRDefault="0025073D" w:rsidP="00534B3E">
      <w:pPr>
        <w:pStyle w:val="ListParagraph"/>
        <w:numPr>
          <w:ilvl w:val="0"/>
          <w:numId w:val="20"/>
        </w:numPr>
        <w:shd w:val="clear" w:color="auto" w:fill="FFFFFF"/>
        <w:spacing w:after="0" w:line="240" w:lineRule="auto"/>
        <w:contextualSpacing w:val="0"/>
        <w:rPr>
          <w:rFonts w:eastAsia="SimSun"/>
          <w:i/>
          <w:iCs/>
          <w:color w:val="000000"/>
          <w:szCs w:val="20"/>
          <w:lang w:eastAsia="zh-CN"/>
        </w:rPr>
      </w:pPr>
      <w:r w:rsidRPr="00E74749">
        <w:rPr>
          <w:rFonts w:eastAsia="SimSun"/>
          <w:i/>
          <w:iCs/>
          <w:color w:val="000000"/>
          <w:szCs w:val="20"/>
          <w:lang w:eastAsia="zh-CN"/>
        </w:rPr>
        <w:t>Issue 1: NR BWP is not directly associated with a beam. Thus, when using TCI to change beam from beam 1 to beam 2, it does not trigger NR BWP switching. However, in NTN FRF&gt;1 case, beam switching may result in a BWP switching.</w:t>
      </w:r>
    </w:p>
    <w:p w14:paraId="36B726F9" w14:textId="77777777" w:rsidR="0025073D" w:rsidRPr="00E74749" w:rsidRDefault="0025073D" w:rsidP="00E74749">
      <w:pPr>
        <w:pStyle w:val="ListParagraph"/>
        <w:numPr>
          <w:ilvl w:val="0"/>
          <w:numId w:val="20"/>
        </w:numPr>
        <w:shd w:val="clear" w:color="auto" w:fill="FFFFFF"/>
        <w:spacing w:after="0" w:line="240" w:lineRule="auto"/>
        <w:contextualSpacing w:val="0"/>
        <w:rPr>
          <w:rFonts w:eastAsia="SimSun"/>
          <w:i/>
          <w:iCs/>
          <w:color w:val="000000"/>
          <w:szCs w:val="20"/>
          <w:lang w:eastAsia="zh-CN"/>
        </w:rPr>
      </w:pPr>
      <w:r w:rsidRPr="00E74749">
        <w:rPr>
          <w:rFonts w:eastAsia="SimSun"/>
          <w:i/>
          <w:iCs/>
          <w:color w:val="000000"/>
          <w:szCs w:val="20"/>
          <w:lang w:eastAsia="zh-CN"/>
        </w:rPr>
        <w:t>Issue 2: NR BWP switching in UL and DL are not jointly triggered for FDD. However, in NTN FRF&gt;1 FDD scenario, beam switching may result in a BWP switching in both DL and UL.</w:t>
      </w:r>
    </w:p>
    <w:p w14:paraId="2B5EDCCD" w14:textId="77777777" w:rsidR="0025073D" w:rsidRPr="00E74749" w:rsidRDefault="0025073D" w:rsidP="00E74749">
      <w:pPr>
        <w:pStyle w:val="ListParagraph"/>
        <w:numPr>
          <w:ilvl w:val="0"/>
          <w:numId w:val="20"/>
        </w:numPr>
        <w:shd w:val="clear" w:color="auto" w:fill="FFFFFF"/>
        <w:spacing w:after="0" w:line="240" w:lineRule="auto"/>
        <w:contextualSpacing w:val="0"/>
        <w:rPr>
          <w:rFonts w:eastAsia="SimSun"/>
          <w:i/>
          <w:iCs/>
          <w:color w:val="000000"/>
          <w:szCs w:val="20"/>
          <w:lang w:eastAsia="zh-CN"/>
        </w:rPr>
      </w:pPr>
      <w:r w:rsidRPr="00E74749">
        <w:rPr>
          <w:rFonts w:eastAsia="SimSun"/>
          <w:i/>
          <w:iCs/>
          <w:color w:val="000000"/>
          <w:szCs w:val="20"/>
          <w:lang w:eastAsia="zh-CN"/>
        </w:rPr>
        <w:t>Issue 3: NR dynamic BWP switching requires data scheduling. While in NTN FRF&gt;1 scenario, we may need a fast BWP switching triggering without data scheduling.</w:t>
      </w:r>
    </w:p>
    <w:p w14:paraId="71495CBE" w14:textId="77777777" w:rsidR="0025073D" w:rsidRPr="00E74749" w:rsidRDefault="0025073D" w:rsidP="00E74749">
      <w:pPr>
        <w:pStyle w:val="ListParagraph"/>
        <w:numPr>
          <w:ilvl w:val="0"/>
          <w:numId w:val="20"/>
        </w:numPr>
        <w:shd w:val="clear" w:color="auto" w:fill="FFFFFF"/>
        <w:spacing w:after="0" w:line="240" w:lineRule="auto"/>
        <w:contextualSpacing w:val="0"/>
        <w:rPr>
          <w:rFonts w:eastAsia="SimSun"/>
          <w:i/>
          <w:iCs/>
          <w:color w:val="000000"/>
          <w:szCs w:val="20"/>
          <w:lang w:eastAsia="zh-CN"/>
        </w:rPr>
      </w:pPr>
      <w:r w:rsidRPr="00E74749">
        <w:rPr>
          <w:rFonts w:eastAsia="SimSun"/>
          <w:i/>
          <w:iCs/>
          <w:color w:val="000000"/>
          <w:szCs w:val="20"/>
          <w:lang w:eastAsia="zh-CN"/>
        </w:rPr>
        <w:lastRenderedPageBreak/>
        <w:t>Issue 4: NR BWP switching does not require re-synchronization. However, in NTN FRF&gt;1 scenario, when a satellite beam switching is triggered, UE may need to perform re-synchronization in the switched BWP. </w:t>
      </w:r>
    </w:p>
    <w:p w14:paraId="2677CEAD" w14:textId="77777777" w:rsidR="0025073D" w:rsidRPr="00E74749" w:rsidRDefault="0025073D" w:rsidP="00E74749">
      <w:pPr>
        <w:pStyle w:val="ListParagraph"/>
        <w:numPr>
          <w:ilvl w:val="0"/>
          <w:numId w:val="20"/>
        </w:numPr>
        <w:shd w:val="clear" w:color="auto" w:fill="FFFFFF"/>
        <w:spacing w:after="0" w:line="240" w:lineRule="auto"/>
        <w:contextualSpacing w:val="0"/>
        <w:rPr>
          <w:rFonts w:eastAsia="SimSun"/>
          <w:i/>
          <w:iCs/>
          <w:color w:val="000000"/>
          <w:szCs w:val="20"/>
          <w:lang w:eastAsia="zh-CN"/>
        </w:rPr>
      </w:pPr>
      <w:r w:rsidRPr="00E74749">
        <w:rPr>
          <w:rFonts w:eastAsia="SimSun"/>
          <w:i/>
          <w:iCs/>
          <w:color w:val="000000"/>
          <w:szCs w:val="20"/>
          <w:lang w:eastAsia="zh-CN"/>
        </w:rPr>
        <w:t>Issue 5: Since satellite beam switching can be frequent and often highly predictable, mechanisms of configured BWP switching (can be a sequence of BWPs) may be preferred but current NR does not allow it.</w:t>
      </w:r>
    </w:p>
    <w:p w14:paraId="5D407AD1" w14:textId="77777777" w:rsidR="0025073D" w:rsidRPr="00E74749" w:rsidRDefault="0025073D" w:rsidP="00E74749">
      <w:pPr>
        <w:pStyle w:val="ListParagraph"/>
        <w:numPr>
          <w:ilvl w:val="0"/>
          <w:numId w:val="20"/>
        </w:numPr>
        <w:shd w:val="clear" w:color="auto" w:fill="FFFFFF"/>
        <w:spacing w:after="0" w:line="240" w:lineRule="auto"/>
        <w:contextualSpacing w:val="0"/>
        <w:rPr>
          <w:rFonts w:eastAsia="SimSun"/>
          <w:i/>
          <w:iCs/>
          <w:color w:val="000000"/>
          <w:szCs w:val="20"/>
          <w:lang w:eastAsia="zh-CN"/>
        </w:rPr>
      </w:pPr>
      <w:r w:rsidRPr="00E74749">
        <w:rPr>
          <w:rFonts w:eastAsia="SimSun"/>
          <w:i/>
          <w:iCs/>
          <w:color w:val="000000"/>
          <w:szCs w:val="20"/>
          <w:lang w:eastAsia="zh-CN"/>
        </w:rPr>
        <w:t>Issue 6: How to deal with BWP switching triggered by bwpInactivityTimer, RA procedure, or simply a need to increase throughput instead of for beam-level mobility.</w:t>
      </w:r>
    </w:p>
    <w:p w14:paraId="0DB49811" w14:textId="77777777" w:rsidR="0025073D" w:rsidRPr="00E74749" w:rsidRDefault="0025073D" w:rsidP="00E74749">
      <w:pPr>
        <w:pStyle w:val="ListParagraph"/>
        <w:numPr>
          <w:ilvl w:val="0"/>
          <w:numId w:val="20"/>
        </w:numPr>
        <w:shd w:val="clear" w:color="auto" w:fill="FFFFFF"/>
        <w:spacing w:after="0" w:line="240" w:lineRule="auto"/>
        <w:contextualSpacing w:val="0"/>
        <w:rPr>
          <w:rFonts w:eastAsia="SimSun"/>
          <w:i/>
          <w:iCs/>
          <w:color w:val="000000"/>
          <w:szCs w:val="20"/>
          <w:lang w:eastAsia="zh-CN"/>
        </w:rPr>
      </w:pPr>
      <w:r w:rsidRPr="00E74749">
        <w:rPr>
          <w:rFonts w:eastAsia="SimSun"/>
          <w:i/>
          <w:iCs/>
          <w:color w:val="000000"/>
          <w:szCs w:val="20"/>
          <w:lang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p>
    <w:p w14:paraId="643A8C7B" w14:textId="77777777" w:rsidR="0025073D" w:rsidRPr="00E74749" w:rsidRDefault="0025073D" w:rsidP="00E74749">
      <w:pPr>
        <w:spacing w:after="0"/>
        <w:rPr>
          <w:i/>
          <w:iCs/>
          <w:lang w:eastAsia="x-none"/>
        </w:rPr>
      </w:pPr>
    </w:p>
    <w:p w14:paraId="352C2F63" w14:textId="77777777" w:rsidR="0025073D" w:rsidRPr="00E74749" w:rsidRDefault="0025073D" w:rsidP="00E74749">
      <w:pPr>
        <w:shd w:val="clear" w:color="auto" w:fill="FFFFFF"/>
        <w:spacing w:after="0"/>
        <w:rPr>
          <w:rFonts w:eastAsia="SimSun"/>
          <w:i/>
          <w:iCs/>
          <w:color w:val="000000"/>
          <w:u w:val="single"/>
        </w:rPr>
      </w:pPr>
      <w:r w:rsidRPr="00E74749">
        <w:rPr>
          <w:rFonts w:eastAsia="SimSun"/>
          <w:i/>
          <w:iCs/>
          <w:color w:val="000000"/>
          <w:u w:val="single"/>
        </w:rPr>
        <w:t>Conclusion:</w:t>
      </w:r>
    </w:p>
    <w:p w14:paraId="7B22C799" w14:textId="77777777" w:rsidR="0025073D" w:rsidRPr="00E74749" w:rsidRDefault="0025073D" w:rsidP="00E74749">
      <w:pPr>
        <w:shd w:val="clear" w:color="auto" w:fill="FFFFFF"/>
        <w:spacing w:after="0"/>
        <w:rPr>
          <w:rFonts w:eastAsia="SimSun"/>
          <w:i/>
          <w:iCs/>
          <w:color w:val="000000"/>
        </w:rPr>
      </w:pPr>
      <w:r w:rsidRPr="00E74749">
        <w:rPr>
          <w:rFonts w:eastAsia="SimSun"/>
          <w:i/>
          <w:iCs/>
          <w:color w:val="000000"/>
        </w:rPr>
        <w:t>Discuss the necessity of reporting UE polarization capability considering at least following aspects, </w:t>
      </w:r>
    </w:p>
    <w:p w14:paraId="0050223C" w14:textId="77777777" w:rsidR="0025073D" w:rsidRPr="00E74749" w:rsidRDefault="0025073D" w:rsidP="00534B3E">
      <w:pPr>
        <w:numPr>
          <w:ilvl w:val="0"/>
          <w:numId w:val="21"/>
        </w:numPr>
        <w:shd w:val="clear" w:color="auto" w:fill="FFFFFF"/>
        <w:overflowPunct/>
        <w:autoSpaceDE/>
        <w:autoSpaceDN/>
        <w:adjustRightInd/>
        <w:spacing w:after="0"/>
        <w:jc w:val="left"/>
        <w:textAlignment w:val="auto"/>
        <w:rPr>
          <w:rFonts w:eastAsia="SimSun"/>
          <w:i/>
          <w:iCs/>
          <w:color w:val="000000"/>
        </w:rPr>
      </w:pPr>
      <w:r w:rsidRPr="00E74749">
        <w:rPr>
          <w:rFonts w:eastAsia="SimSun"/>
          <w:i/>
          <w:iCs/>
          <w:color w:val="000000"/>
        </w:rPr>
        <w:t>Deployment scenarios.</w:t>
      </w:r>
    </w:p>
    <w:p w14:paraId="1D3E0FC5" w14:textId="77777777" w:rsidR="0025073D" w:rsidRPr="00E74749" w:rsidRDefault="0025073D" w:rsidP="00E74749">
      <w:pPr>
        <w:numPr>
          <w:ilvl w:val="0"/>
          <w:numId w:val="21"/>
        </w:numPr>
        <w:shd w:val="clear" w:color="auto" w:fill="FFFFFF"/>
        <w:overflowPunct/>
        <w:autoSpaceDE/>
        <w:autoSpaceDN/>
        <w:adjustRightInd/>
        <w:spacing w:after="0"/>
        <w:jc w:val="left"/>
        <w:textAlignment w:val="auto"/>
        <w:rPr>
          <w:rFonts w:eastAsia="SimSun"/>
          <w:i/>
          <w:iCs/>
          <w:color w:val="000000"/>
        </w:rPr>
      </w:pPr>
      <w:r w:rsidRPr="00E74749">
        <w:rPr>
          <w:rFonts w:eastAsia="SimSun"/>
          <w:i/>
          <w:iCs/>
          <w:color w:val="000000"/>
        </w:rPr>
        <w:t>UE implementation aspects with respect to polarization.</w:t>
      </w:r>
    </w:p>
    <w:p w14:paraId="70EFC657" w14:textId="77777777" w:rsidR="0025073D" w:rsidRPr="00E74749" w:rsidRDefault="0025073D" w:rsidP="00E74749">
      <w:pPr>
        <w:numPr>
          <w:ilvl w:val="0"/>
          <w:numId w:val="21"/>
        </w:numPr>
        <w:shd w:val="clear" w:color="auto" w:fill="FFFFFF"/>
        <w:overflowPunct/>
        <w:autoSpaceDE/>
        <w:autoSpaceDN/>
        <w:adjustRightInd/>
        <w:spacing w:after="0"/>
        <w:jc w:val="left"/>
        <w:textAlignment w:val="auto"/>
        <w:rPr>
          <w:rFonts w:eastAsia="SimSun"/>
          <w:i/>
          <w:iCs/>
          <w:color w:val="000000"/>
        </w:rPr>
      </w:pPr>
      <w:r w:rsidRPr="00E74749">
        <w:rPr>
          <w:rFonts w:eastAsia="SimSun"/>
          <w:i/>
          <w:iCs/>
          <w:color w:val="000000"/>
        </w:rPr>
        <w:t>Satellite implementation aspects for switching between polarization states.</w:t>
      </w:r>
    </w:p>
    <w:p w14:paraId="3998F4A9" w14:textId="77777777" w:rsidR="0025073D" w:rsidRPr="00E74749" w:rsidRDefault="0025073D" w:rsidP="00E74749">
      <w:pPr>
        <w:numPr>
          <w:ilvl w:val="0"/>
          <w:numId w:val="21"/>
        </w:numPr>
        <w:shd w:val="clear" w:color="auto" w:fill="FFFFFF"/>
        <w:overflowPunct/>
        <w:autoSpaceDE/>
        <w:autoSpaceDN/>
        <w:adjustRightInd/>
        <w:spacing w:after="0"/>
        <w:jc w:val="left"/>
        <w:textAlignment w:val="auto"/>
        <w:rPr>
          <w:rFonts w:eastAsia="SimSun"/>
          <w:i/>
          <w:iCs/>
          <w:color w:val="000000"/>
        </w:rPr>
      </w:pPr>
      <w:r w:rsidRPr="00E74749">
        <w:rPr>
          <w:rFonts w:eastAsia="SimSun"/>
          <w:i/>
          <w:iCs/>
          <w:color w:val="000000"/>
        </w:rPr>
        <w:t>Satellite implementation aspects for realizing multiplexing of UEs having different polarization capabilities.</w:t>
      </w:r>
    </w:p>
    <w:p w14:paraId="2B1B852C" w14:textId="7446AAA6" w:rsidR="0025073D" w:rsidRDefault="0025073D" w:rsidP="00001445">
      <w:pPr>
        <w:spacing w:line="276" w:lineRule="auto"/>
        <w:rPr>
          <w:rFonts w:cs="Arial"/>
          <w:sz w:val="22"/>
          <w:szCs w:val="22"/>
        </w:rPr>
      </w:pPr>
    </w:p>
    <w:p w14:paraId="560D87AF" w14:textId="5D776AEE" w:rsidR="005722BA" w:rsidRDefault="005722BA" w:rsidP="00001445">
      <w:pPr>
        <w:spacing w:line="276" w:lineRule="auto"/>
        <w:rPr>
          <w:rFonts w:cs="Arial"/>
          <w:sz w:val="22"/>
          <w:szCs w:val="22"/>
        </w:rPr>
      </w:pPr>
      <w:r w:rsidRPr="00E74749">
        <w:rPr>
          <w:rFonts w:cs="Arial"/>
          <w:b/>
          <w:bCs/>
          <w:sz w:val="22"/>
          <w:szCs w:val="22"/>
          <w:u w:val="single"/>
        </w:rPr>
        <w:t>RAN1 #10</w:t>
      </w:r>
      <w:r>
        <w:rPr>
          <w:rFonts w:cs="Arial"/>
          <w:b/>
          <w:bCs/>
          <w:sz w:val="22"/>
          <w:szCs w:val="22"/>
          <w:u w:val="single"/>
        </w:rPr>
        <w:t>5</w:t>
      </w:r>
      <w:r w:rsidRPr="00E74749">
        <w:rPr>
          <w:rFonts w:cs="Arial"/>
          <w:b/>
          <w:bCs/>
          <w:sz w:val="22"/>
          <w:szCs w:val="22"/>
          <w:u w:val="single"/>
        </w:rPr>
        <w:t>e</w:t>
      </w:r>
    </w:p>
    <w:p w14:paraId="36D328D8" w14:textId="77777777" w:rsidR="005722BA" w:rsidRPr="00D56247" w:rsidRDefault="005722BA" w:rsidP="00D56247">
      <w:pPr>
        <w:spacing w:after="0"/>
        <w:rPr>
          <w:i/>
          <w:iCs/>
          <w:lang w:eastAsia="x-none"/>
        </w:rPr>
      </w:pPr>
      <w:r w:rsidRPr="00D56247">
        <w:rPr>
          <w:i/>
          <w:iCs/>
          <w:highlight w:val="green"/>
          <w:lang w:eastAsia="x-none"/>
        </w:rPr>
        <w:t>Agreement:</w:t>
      </w:r>
    </w:p>
    <w:p w14:paraId="5DD2C9F9" w14:textId="77777777" w:rsidR="005722BA" w:rsidRPr="00D56247" w:rsidRDefault="005722BA" w:rsidP="00D56247">
      <w:pPr>
        <w:spacing w:after="0"/>
        <w:rPr>
          <w:i/>
          <w:iCs/>
          <w:lang w:eastAsia="x-none"/>
        </w:rPr>
      </w:pPr>
      <w:r w:rsidRPr="00D56247">
        <w:rPr>
          <w:i/>
          <w:iCs/>
          <w:lang w:eastAsia="x-none"/>
        </w:rPr>
        <w:t>Same beam layout in BWP#0 and BWP#x (Option 1) and hierarchical beam for BWP#0 (Option 2) should be supported by the specifications for NR-NTN.</w:t>
      </w:r>
    </w:p>
    <w:p w14:paraId="7A9B37AF" w14:textId="77777777" w:rsidR="005722BA" w:rsidRPr="00D56247" w:rsidRDefault="005722BA" w:rsidP="005722BA">
      <w:pPr>
        <w:numPr>
          <w:ilvl w:val="0"/>
          <w:numId w:val="24"/>
        </w:numPr>
        <w:overflowPunct/>
        <w:autoSpaceDE/>
        <w:autoSpaceDN/>
        <w:adjustRightInd/>
        <w:spacing w:after="0"/>
        <w:jc w:val="left"/>
        <w:textAlignment w:val="auto"/>
        <w:rPr>
          <w:i/>
          <w:iCs/>
          <w:lang w:eastAsia="x-none"/>
        </w:rPr>
      </w:pPr>
      <w:r w:rsidRPr="00D56247">
        <w:rPr>
          <w:i/>
          <w:iCs/>
          <w:lang w:eastAsia="x-none"/>
        </w:rPr>
        <w:t>FFS: Whether any specification changes are needed specifically to support this functionality</w:t>
      </w:r>
    </w:p>
    <w:p w14:paraId="2FB439CC" w14:textId="77777777" w:rsidR="005722BA" w:rsidRPr="00D56247" w:rsidRDefault="005722BA" w:rsidP="00D56247">
      <w:pPr>
        <w:spacing w:after="0"/>
        <w:rPr>
          <w:i/>
          <w:iCs/>
          <w:lang w:eastAsia="x-none"/>
        </w:rPr>
      </w:pPr>
    </w:p>
    <w:p w14:paraId="301A1F73" w14:textId="77777777" w:rsidR="005722BA" w:rsidRPr="00D56247" w:rsidRDefault="005722BA" w:rsidP="00D56247">
      <w:pPr>
        <w:spacing w:after="0"/>
        <w:rPr>
          <w:i/>
          <w:iCs/>
          <w:lang w:eastAsia="x-none"/>
        </w:rPr>
      </w:pPr>
      <w:r w:rsidRPr="00D56247">
        <w:rPr>
          <w:i/>
          <w:iCs/>
          <w:highlight w:val="green"/>
          <w:lang w:eastAsia="x-none"/>
        </w:rPr>
        <w:t>Agreement:</w:t>
      </w:r>
    </w:p>
    <w:p w14:paraId="75355E88" w14:textId="77777777" w:rsidR="005722BA" w:rsidRPr="00D56247" w:rsidRDefault="005722BA" w:rsidP="00D56247">
      <w:pPr>
        <w:spacing w:after="0"/>
        <w:rPr>
          <w:i/>
          <w:iCs/>
          <w:lang w:eastAsia="x-none"/>
        </w:rPr>
      </w:pPr>
      <w:r w:rsidRPr="00D56247">
        <w:rPr>
          <w:i/>
          <w:iCs/>
          <w:lang w:eastAsia="x-none"/>
        </w:rPr>
        <w:t>For explicit indication of polarization information for DL by the network, support indication in SIB</w:t>
      </w:r>
    </w:p>
    <w:p w14:paraId="1B788CDB" w14:textId="77777777" w:rsidR="005722BA" w:rsidRPr="00D56247" w:rsidRDefault="005722BA" w:rsidP="005722BA">
      <w:pPr>
        <w:numPr>
          <w:ilvl w:val="0"/>
          <w:numId w:val="24"/>
        </w:numPr>
        <w:overflowPunct/>
        <w:autoSpaceDE/>
        <w:autoSpaceDN/>
        <w:adjustRightInd/>
        <w:spacing w:after="0"/>
        <w:jc w:val="left"/>
        <w:textAlignment w:val="auto"/>
        <w:rPr>
          <w:i/>
          <w:iCs/>
          <w:lang w:eastAsia="x-none"/>
        </w:rPr>
      </w:pPr>
      <w:r w:rsidRPr="00D56247">
        <w:rPr>
          <w:i/>
          <w:iCs/>
          <w:lang w:eastAsia="x-none"/>
        </w:rPr>
        <w:t>FFS: Signaling details for indication in SIB</w:t>
      </w:r>
    </w:p>
    <w:p w14:paraId="7AC0745D" w14:textId="77777777" w:rsidR="005722BA" w:rsidRPr="00D56247" w:rsidRDefault="005722BA" w:rsidP="00D56247">
      <w:pPr>
        <w:spacing w:after="0"/>
        <w:rPr>
          <w:i/>
          <w:iCs/>
          <w:lang w:eastAsia="x-none"/>
        </w:rPr>
      </w:pPr>
    </w:p>
    <w:p w14:paraId="443D0693" w14:textId="77777777" w:rsidR="005722BA" w:rsidRPr="00D56247" w:rsidRDefault="005722BA" w:rsidP="00D56247">
      <w:pPr>
        <w:spacing w:after="0"/>
        <w:rPr>
          <w:i/>
          <w:iCs/>
          <w:lang w:eastAsia="x-none"/>
        </w:rPr>
      </w:pPr>
      <w:r w:rsidRPr="00D56247">
        <w:rPr>
          <w:i/>
          <w:iCs/>
          <w:highlight w:val="green"/>
          <w:lang w:eastAsia="x-none"/>
        </w:rPr>
        <w:t>Agreement:</w:t>
      </w:r>
    </w:p>
    <w:p w14:paraId="743219BA" w14:textId="77777777" w:rsidR="005722BA" w:rsidRPr="00D56247" w:rsidRDefault="005722BA" w:rsidP="005722BA">
      <w:pPr>
        <w:numPr>
          <w:ilvl w:val="0"/>
          <w:numId w:val="24"/>
        </w:numPr>
        <w:overflowPunct/>
        <w:autoSpaceDE/>
        <w:autoSpaceDN/>
        <w:adjustRightInd/>
        <w:spacing w:after="0"/>
        <w:jc w:val="left"/>
        <w:textAlignment w:val="auto"/>
        <w:rPr>
          <w:i/>
          <w:iCs/>
          <w:lang w:val="en-US" w:eastAsia="x-none"/>
        </w:rPr>
      </w:pPr>
      <w:r w:rsidRPr="00D56247">
        <w:rPr>
          <w:i/>
          <w:iCs/>
          <w:lang w:val="en-US" w:eastAsia="x-none"/>
        </w:rPr>
        <w:t>Polarization information for UL may be indicated in SIB by the network</w:t>
      </w:r>
    </w:p>
    <w:p w14:paraId="4111FD17" w14:textId="77777777" w:rsidR="005722BA" w:rsidRPr="00D56247" w:rsidRDefault="005722BA" w:rsidP="005722BA">
      <w:pPr>
        <w:numPr>
          <w:ilvl w:val="0"/>
          <w:numId w:val="24"/>
        </w:numPr>
        <w:overflowPunct/>
        <w:autoSpaceDE/>
        <w:autoSpaceDN/>
        <w:adjustRightInd/>
        <w:spacing w:after="0"/>
        <w:jc w:val="left"/>
        <w:textAlignment w:val="auto"/>
        <w:rPr>
          <w:i/>
          <w:iCs/>
          <w:lang w:val="en-US" w:eastAsia="x-none"/>
        </w:rPr>
      </w:pPr>
      <w:r w:rsidRPr="00D56247">
        <w:rPr>
          <w:i/>
          <w:iCs/>
          <w:lang w:val="en-US" w:eastAsia="x-none"/>
        </w:rPr>
        <w:t>UE assumes a same polarization for UL and DL, when the UL polarization information is absent.</w:t>
      </w:r>
    </w:p>
    <w:p w14:paraId="6A273365" w14:textId="77777777" w:rsidR="005722BA" w:rsidRPr="00D56247" w:rsidRDefault="005722BA" w:rsidP="005722BA">
      <w:pPr>
        <w:numPr>
          <w:ilvl w:val="0"/>
          <w:numId w:val="24"/>
        </w:numPr>
        <w:overflowPunct/>
        <w:autoSpaceDE/>
        <w:autoSpaceDN/>
        <w:adjustRightInd/>
        <w:spacing w:after="0"/>
        <w:jc w:val="left"/>
        <w:textAlignment w:val="auto"/>
        <w:rPr>
          <w:i/>
          <w:iCs/>
          <w:lang w:val="en-US" w:eastAsia="x-none"/>
        </w:rPr>
      </w:pPr>
      <w:r w:rsidRPr="00D56247">
        <w:rPr>
          <w:i/>
          <w:iCs/>
          <w:lang w:val="en-US" w:eastAsia="x-none"/>
        </w:rPr>
        <w:t>FFS: Signaling details for indication in SIB</w:t>
      </w:r>
    </w:p>
    <w:p w14:paraId="631F2AFE" w14:textId="566756B7" w:rsidR="005722BA" w:rsidRDefault="005722BA" w:rsidP="00001445">
      <w:pPr>
        <w:spacing w:line="276" w:lineRule="auto"/>
        <w:rPr>
          <w:rFonts w:cs="Arial"/>
          <w:sz w:val="22"/>
          <w:szCs w:val="22"/>
        </w:rPr>
      </w:pPr>
    </w:p>
    <w:p w14:paraId="41C72C8B" w14:textId="7AF077F2" w:rsidR="00AB3F44" w:rsidRDefault="00AB3F44" w:rsidP="00AB3F44">
      <w:pPr>
        <w:spacing w:line="276" w:lineRule="auto"/>
        <w:rPr>
          <w:rFonts w:cs="Arial"/>
          <w:sz w:val="22"/>
          <w:szCs w:val="22"/>
        </w:rPr>
      </w:pPr>
      <w:r w:rsidRPr="00E74749">
        <w:rPr>
          <w:rFonts w:cs="Arial"/>
          <w:b/>
          <w:bCs/>
          <w:sz w:val="22"/>
          <w:szCs w:val="22"/>
          <w:u w:val="single"/>
        </w:rPr>
        <w:t>RAN1 #10</w:t>
      </w:r>
      <w:r>
        <w:rPr>
          <w:rFonts w:cs="Arial"/>
          <w:b/>
          <w:bCs/>
          <w:sz w:val="22"/>
          <w:szCs w:val="22"/>
          <w:u w:val="single"/>
        </w:rPr>
        <w:t>6</w:t>
      </w:r>
      <w:r w:rsidRPr="00E74749">
        <w:rPr>
          <w:rFonts w:cs="Arial"/>
          <w:b/>
          <w:bCs/>
          <w:sz w:val="22"/>
          <w:szCs w:val="22"/>
          <w:u w:val="single"/>
        </w:rPr>
        <w:t>e</w:t>
      </w:r>
    </w:p>
    <w:p w14:paraId="3FB86067" w14:textId="77777777" w:rsidR="00AB3F44" w:rsidRPr="00D55683" w:rsidRDefault="00AB3F44" w:rsidP="00D55683">
      <w:pPr>
        <w:spacing w:after="0"/>
        <w:rPr>
          <w:i/>
          <w:iCs/>
        </w:rPr>
      </w:pPr>
      <w:r w:rsidRPr="00D55683">
        <w:rPr>
          <w:i/>
          <w:iCs/>
          <w:highlight w:val="green"/>
        </w:rPr>
        <w:t>Agreement:</w:t>
      </w:r>
    </w:p>
    <w:p w14:paraId="1F572FEE" w14:textId="77777777" w:rsidR="00AB3F44" w:rsidRPr="00D55683" w:rsidRDefault="00AB3F44" w:rsidP="00D55683">
      <w:pPr>
        <w:spacing w:after="0"/>
        <w:rPr>
          <w:i/>
          <w:iCs/>
        </w:rPr>
      </w:pPr>
      <w:r w:rsidRPr="00D55683">
        <w:rPr>
          <w:i/>
          <w:iCs/>
        </w:rPr>
        <w:t>When polarization signalling is present in SIB</w:t>
      </w:r>
    </w:p>
    <w:p w14:paraId="6ED66F23" w14:textId="77777777" w:rsidR="00AB3F44" w:rsidRPr="00D55683" w:rsidRDefault="00AB3F44" w:rsidP="00AB3F44">
      <w:pPr>
        <w:numPr>
          <w:ilvl w:val="0"/>
          <w:numId w:val="27"/>
        </w:numPr>
        <w:overflowPunct/>
        <w:autoSpaceDE/>
        <w:autoSpaceDN/>
        <w:adjustRightInd/>
        <w:spacing w:after="0"/>
        <w:jc w:val="left"/>
        <w:textAlignment w:val="auto"/>
        <w:rPr>
          <w:i/>
          <w:iCs/>
        </w:rPr>
      </w:pPr>
      <w:r w:rsidRPr="00D55683">
        <w:rPr>
          <w:i/>
          <w:iCs/>
        </w:rPr>
        <w:t>SIB indicates DL and/or UL polarization information using respective polarization type parameters to indicate: RHCP or LHCP or linear</w:t>
      </w:r>
    </w:p>
    <w:p w14:paraId="33727BF7" w14:textId="77777777" w:rsidR="00AB3F44" w:rsidRPr="00D55683" w:rsidRDefault="00AB3F44" w:rsidP="00AB3F44">
      <w:pPr>
        <w:numPr>
          <w:ilvl w:val="0"/>
          <w:numId w:val="27"/>
        </w:numPr>
        <w:overflowPunct/>
        <w:autoSpaceDE/>
        <w:autoSpaceDN/>
        <w:adjustRightInd/>
        <w:spacing w:after="0"/>
        <w:jc w:val="left"/>
        <w:textAlignment w:val="auto"/>
        <w:rPr>
          <w:i/>
          <w:iCs/>
        </w:rPr>
      </w:pPr>
      <w:r w:rsidRPr="00D55683">
        <w:rPr>
          <w:i/>
          <w:iCs/>
        </w:rPr>
        <w:t>FFS: whether polarization signalling is per SSB</w:t>
      </w:r>
    </w:p>
    <w:p w14:paraId="5B5E942D" w14:textId="77777777" w:rsidR="00AB3F44" w:rsidRDefault="00AB3F44" w:rsidP="00001445">
      <w:pPr>
        <w:spacing w:line="276" w:lineRule="auto"/>
        <w:rPr>
          <w:rFonts w:cs="Arial"/>
          <w:sz w:val="22"/>
          <w:szCs w:val="22"/>
        </w:rPr>
      </w:pPr>
    </w:p>
    <w:p w14:paraId="6D28A8BF" w14:textId="12F02F89" w:rsidR="00BE6342" w:rsidRPr="000C3C1B" w:rsidRDefault="00001445" w:rsidP="00001445">
      <w:pPr>
        <w:spacing w:line="276" w:lineRule="auto"/>
      </w:pPr>
      <w:r w:rsidRPr="008924A3">
        <w:rPr>
          <w:rFonts w:cs="Arial"/>
          <w:sz w:val="22"/>
          <w:szCs w:val="22"/>
        </w:rPr>
        <w:t>In this contribution, we discuss</w:t>
      </w:r>
      <w:r w:rsidR="0025073D">
        <w:rPr>
          <w:rFonts w:cs="Arial"/>
          <w:sz w:val="22"/>
          <w:szCs w:val="22"/>
        </w:rPr>
        <w:t xml:space="preserve"> further on</w:t>
      </w:r>
      <w:r w:rsidR="008F5A4A">
        <w:rPr>
          <w:rFonts w:cs="Arial"/>
          <w:sz w:val="22"/>
          <w:szCs w:val="22"/>
        </w:rPr>
        <w:t xml:space="preserve"> beam management related issues for NTN</w:t>
      </w:r>
      <w:bookmarkEnd w:id="0"/>
      <w:r w:rsidR="00E60A1B">
        <w:rPr>
          <w:rFonts w:cs="Arial"/>
          <w:sz w:val="22"/>
          <w:szCs w:val="22"/>
        </w:rPr>
        <w:t>.</w:t>
      </w:r>
    </w:p>
    <w:p w14:paraId="037E7C31" w14:textId="0DE9D9B0" w:rsidR="00E9634D" w:rsidRPr="00E9634D" w:rsidRDefault="00E9634D" w:rsidP="00D55683">
      <w:pPr>
        <w:pStyle w:val="Heading1"/>
      </w:pPr>
      <w:r>
        <w:t>Remaining Issues</w:t>
      </w:r>
    </w:p>
    <w:p w14:paraId="173D8477" w14:textId="6ECE55F3" w:rsidR="000C18C9" w:rsidRPr="00D55683" w:rsidRDefault="00E9634D" w:rsidP="00D55683">
      <w:pPr>
        <w:pStyle w:val="Heading2"/>
        <w:rPr>
          <w:sz w:val="28"/>
          <w:szCs w:val="28"/>
        </w:rPr>
      </w:pPr>
      <w:r w:rsidRPr="00D55683">
        <w:rPr>
          <w:sz w:val="28"/>
          <w:szCs w:val="28"/>
        </w:rPr>
        <w:t xml:space="preserve">gNB/UE dominant beam switch  </w:t>
      </w:r>
    </w:p>
    <w:p w14:paraId="30EFFFCB" w14:textId="4F640687" w:rsidR="000C18C9" w:rsidRPr="00CD1545" w:rsidRDefault="00906039" w:rsidP="00906039">
      <w:pPr>
        <w:spacing w:line="276" w:lineRule="auto"/>
        <w:rPr>
          <w:rFonts w:eastAsia="Calibri" w:cs="Arial"/>
          <w:bCs/>
          <w:sz w:val="22"/>
          <w:szCs w:val="22"/>
          <w:lang w:val="en-US" w:eastAsia="ko-KR"/>
        </w:rPr>
      </w:pPr>
      <w:r>
        <w:rPr>
          <w:rFonts w:eastAsia="Calibri" w:cs="Arial"/>
          <w:bCs/>
          <w:sz w:val="22"/>
          <w:szCs w:val="22"/>
          <w:lang w:val="en-US" w:eastAsia="ko-KR"/>
        </w:rPr>
        <w:t xml:space="preserve">In RAN1 #106-e, </w:t>
      </w:r>
      <w:r w:rsidR="00CD1545" w:rsidRPr="00CD1545">
        <w:rPr>
          <w:rFonts w:eastAsia="Calibri" w:cs="Arial"/>
          <w:bCs/>
          <w:sz w:val="22"/>
          <w:szCs w:val="22"/>
          <w:lang w:val="en-US" w:eastAsia="ko-KR"/>
        </w:rPr>
        <w:t xml:space="preserve">two alternatives were discussed </w:t>
      </w:r>
      <w:r w:rsidR="00845030">
        <w:rPr>
          <w:rFonts w:eastAsia="Calibri" w:cs="Arial"/>
          <w:bCs/>
          <w:sz w:val="22"/>
          <w:szCs w:val="22"/>
          <w:lang w:val="en-US" w:eastAsia="ko-KR"/>
        </w:rPr>
        <w:t xml:space="preserve">as following based on the assumption </w:t>
      </w:r>
      <w:r w:rsidR="001802C8">
        <w:rPr>
          <w:rFonts w:eastAsia="Calibri" w:cs="Arial"/>
          <w:bCs/>
          <w:sz w:val="22"/>
          <w:szCs w:val="22"/>
          <w:lang w:val="en-US" w:eastAsia="ko-KR"/>
        </w:rPr>
        <w:t>that satellite</w:t>
      </w:r>
      <w:r w:rsidR="00845030">
        <w:rPr>
          <w:rFonts w:eastAsia="Calibri" w:cs="Arial"/>
          <w:bCs/>
          <w:sz w:val="22"/>
          <w:szCs w:val="22"/>
          <w:lang w:val="en-US" w:eastAsia="ko-KR"/>
        </w:rPr>
        <w:t xml:space="preserve"> beam switching is predictable</w:t>
      </w:r>
      <w:r w:rsidR="00FE04E4">
        <w:rPr>
          <w:rFonts w:eastAsia="Calibri" w:cs="Arial"/>
          <w:bCs/>
          <w:sz w:val="22"/>
          <w:szCs w:val="22"/>
          <w:lang w:val="en-US" w:eastAsia="ko-KR"/>
        </w:rPr>
        <w:t xml:space="preserve"> from either gNB or UE</w:t>
      </w:r>
      <w:r w:rsidR="00845030">
        <w:rPr>
          <w:rFonts w:eastAsia="Calibri" w:cs="Arial"/>
          <w:bCs/>
          <w:sz w:val="22"/>
          <w:szCs w:val="22"/>
          <w:lang w:val="en-US" w:eastAsia="ko-KR"/>
        </w:rPr>
        <w:t>:</w:t>
      </w:r>
    </w:p>
    <w:p w14:paraId="4288B629" w14:textId="0F9341CA" w:rsidR="00CD1545" w:rsidRDefault="00CD1545" w:rsidP="00CD1545">
      <w:pPr>
        <w:pStyle w:val="ListParagraph"/>
        <w:numPr>
          <w:ilvl w:val="0"/>
          <w:numId w:val="25"/>
        </w:numPr>
        <w:spacing w:line="276" w:lineRule="auto"/>
        <w:rPr>
          <w:rFonts w:ascii="Arial" w:eastAsia="Calibri" w:hAnsi="Arial" w:cs="Arial"/>
          <w:bCs/>
          <w:lang w:eastAsia="ko-KR"/>
        </w:rPr>
      </w:pPr>
      <w:r w:rsidRPr="00D56247">
        <w:rPr>
          <w:rFonts w:ascii="Arial" w:eastAsia="Calibri" w:hAnsi="Arial" w:cs="Arial"/>
          <w:bCs/>
          <w:lang w:eastAsia="ko-KR"/>
        </w:rPr>
        <w:t xml:space="preserve">Alt-1: </w:t>
      </w:r>
      <w:r>
        <w:rPr>
          <w:rFonts w:ascii="Arial" w:eastAsia="Calibri" w:hAnsi="Arial" w:cs="Arial"/>
          <w:bCs/>
          <w:lang w:eastAsia="ko-KR"/>
        </w:rPr>
        <w:t>UE BWP</w:t>
      </w:r>
      <w:r w:rsidR="00845030">
        <w:rPr>
          <w:rFonts w:ascii="Arial" w:eastAsia="Calibri" w:hAnsi="Arial" w:cs="Arial"/>
          <w:bCs/>
          <w:lang w:eastAsia="ko-KR"/>
        </w:rPr>
        <w:t>/beam switching is triggered by gNB relying on prediction on gNB side</w:t>
      </w:r>
    </w:p>
    <w:p w14:paraId="0FE43F20" w14:textId="7D3BB081" w:rsidR="00845030" w:rsidRPr="00D56247" w:rsidRDefault="00845030" w:rsidP="00D56247">
      <w:pPr>
        <w:pStyle w:val="ListParagraph"/>
        <w:numPr>
          <w:ilvl w:val="0"/>
          <w:numId w:val="25"/>
        </w:numPr>
        <w:spacing w:line="276" w:lineRule="auto"/>
        <w:rPr>
          <w:rFonts w:eastAsia="Calibri" w:cs="Arial"/>
          <w:bCs/>
          <w:lang w:eastAsia="ko-KR"/>
        </w:rPr>
      </w:pPr>
      <w:r>
        <w:rPr>
          <w:rFonts w:ascii="Arial" w:eastAsia="Calibri" w:hAnsi="Arial" w:cs="Arial"/>
          <w:bCs/>
          <w:lang w:eastAsia="ko-KR"/>
        </w:rPr>
        <w:lastRenderedPageBreak/>
        <w:t>Alt-2: UE BWP/beam switching is performed by UE autonomously relying on assistant information</w:t>
      </w:r>
    </w:p>
    <w:p w14:paraId="0F0DE30C" w14:textId="0EA0F7EF" w:rsidR="00845030" w:rsidRDefault="00FE04E4" w:rsidP="00845030">
      <w:pPr>
        <w:spacing w:line="276" w:lineRule="auto"/>
        <w:rPr>
          <w:rFonts w:eastAsia="Calibri" w:cs="Arial"/>
          <w:bCs/>
          <w:sz w:val="22"/>
          <w:szCs w:val="22"/>
          <w:lang w:eastAsia="ko-KR"/>
        </w:rPr>
      </w:pPr>
      <w:r>
        <w:rPr>
          <w:rFonts w:eastAsia="Calibri" w:cs="Arial"/>
          <w:bCs/>
          <w:sz w:val="22"/>
          <w:szCs w:val="22"/>
          <w:lang w:eastAsia="ko-KR"/>
        </w:rPr>
        <w:t xml:space="preserve">In TN, the beam switching is triggered by gNB based on the beam measurement information at the UE. For example, a UE may measure beam reference signals (e.g., SSB or CSI-RS) and report L1-RSRP measurement with a preferred beam index (e.g., CRI). In NTN scenario, although UE may be able to predict BWP/beam switching based on the UE location as well as satellite ephemeris, the preferred BWP/beam information can be reported to </w:t>
      </w:r>
      <w:r w:rsidR="001802C8">
        <w:rPr>
          <w:rFonts w:eastAsia="Calibri" w:cs="Arial"/>
          <w:bCs/>
          <w:sz w:val="22"/>
          <w:szCs w:val="22"/>
          <w:lang w:eastAsia="ko-KR"/>
        </w:rPr>
        <w:t>a</w:t>
      </w:r>
      <w:r>
        <w:rPr>
          <w:rFonts w:eastAsia="Calibri" w:cs="Arial"/>
          <w:bCs/>
          <w:sz w:val="22"/>
          <w:szCs w:val="22"/>
          <w:lang w:eastAsia="ko-KR"/>
        </w:rPr>
        <w:t xml:space="preserve"> gNB and the gNB can trigger the BWP/beam switching.</w:t>
      </w:r>
      <w:r w:rsidR="009C4052">
        <w:rPr>
          <w:rFonts w:eastAsia="Calibri" w:cs="Arial"/>
          <w:bCs/>
          <w:sz w:val="22"/>
          <w:szCs w:val="22"/>
          <w:lang w:eastAsia="ko-KR"/>
        </w:rPr>
        <w:t xml:space="preserve"> Note that a set of beam measurement reference signals (e.g., SSB or CSI-RS) could be configured and the reporting of the preferred beam could be interpreted as preferred BWP for the UE.</w:t>
      </w:r>
    </w:p>
    <w:p w14:paraId="4A79DF13" w14:textId="6A906978" w:rsidR="009C4052" w:rsidRDefault="009C4052" w:rsidP="00845030">
      <w:pPr>
        <w:spacing w:line="276" w:lineRule="auto"/>
        <w:rPr>
          <w:rFonts w:eastAsia="Calibri" w:cs="Arial"/>
          <w:bCs/>
          <w:sz w:val="22"/>
          <w:szCs w:val="22"/>
          <w:lang w:eastAsia="ko-KR"/>
        </w:rPr>
      </w:pPr>
      <w:r>
        <w:rPr>
          <w:rFonts w:eastAsia="Calibri" w:cs="Arial"/>
          <w:bCs/>
          <w:sz w:val="22"/>
          <w:szCs w:val="22"/>
          <w:lang w:eastAsia="ko-KR"/>
        </w:rPr>
        <w:t xml:space="preserve">Moreover, switching BWP/beam in UE autonomous manner could result in </w:t>
      </w:r>
      <w:r w:rsidR="00977C46">
        <w:rPr>
          <w:rFonts w:eastAsia="Calibri" w:cs="Arial"/>
          <w:bCs/>
          <w:sz w:val="22"/>
          <w:szCs w:val="22"/>
          <w:lang w:eastAsia="ko-KR"/>
        </w:rPr>
        <w:t>synchronization issue between gNB and UE if the gNB doesn’t know exact timing of the BWP/beam switching. To address that issue, a UE may need to report the BWP/beam switching sequence and timing to the gNB which requires significant standards efforts unnecessarily considering that existing beam management framework works perfectly for the scenario.</w:t>
      </w:r>
    </w:p>
    <w:p w14:paraId="412B2032" w14:textId="489CA08A" w:rsidR="00906039" w:rsidRPr="00D55683" w:rsidRDefault="00906039" w:rsidP="00845030">
      <w:pPr>
        <w:spacing w:line="276" w:lineRule="auto"/>
        <w:rPr>
          <w:rFonts w:eastAsia="Calibri" w:cs="Arial"/>
          <w:bCs/>
          <w:sz w:val="22"/>
          <w:szCs w:val="22"/>
          <w:lang w:val="en-US" w:eastAsia="ko-KR"/>
        </w:rPr>
      </w:pPr>
      <w:r>
        <w:rPr>
          <w:rFonts w:eastAsia="Calibri" w:cs="Arial"/>
          <w:bCs/>
          <w:sz w:val="22"/>
          <w:szCs w:val="22"/>
          <w:lang w:eastAsia="ko-KR"/>
        </w:rPr>
        <w:t xml:space="preserve">In general, due to large beam footprint in NTN, the beam switch may occur </w:t>
      </w:r>
      <w:r>
        <w:rPr>
          <w:rFonts w:eastAsia="Calibri" w:cs="Arial"/>
          <w:bCs/>
          <w:sz w:val="22"/>
          <w:szCs w:val="22"/>
          <w:lang w:val="en-US" w:eastAsia="ko-KR"/>
        </w:rPr>
        <w:t xml:space="preserve">infrequently as compared to TN case in which beam switch is required more dynamically due to blocking and UE rotation. Thus, the overhead reduction by indicating a sequence of beams may not provide meaningful benefit while increasing gNB/UE complexity as well as standards efforts. </w:t>
      </w:r>
    </w:p>
    <w:p w14:paraId="288E6A1F" w14:textId="6F4838E2" w:rsidR="00977C46" w:rsidRDefault="00977C46" w:rsidP="00845030">
      <w:pPr>
        <w:spacing w:line="276" w:lineRule="auto"/>
        <w:rPr>
          <w:rFonts w:eastAsia="Calibri" w:cs="Arial"/>
          <w:bCs/>
          <w:sz w:val="22"/>
          <w:szCs w:val="22"/>
          <w:lang w:eastAsia="ko-KR"/>
        </w:rPr>
      </w:pPr>
      <w:r>
        <w:rPr>
          <w:rFonts w:eastAsia="Calibri" w:cs="Arial"/>
          <w:bCs/>
          <w:sz w:val="22"/>
          <w:szCs w:val="22"/>
          <w:lang w:eastAsia="ko-KR"/>
        </w:rPr>
        <w:t>Therefore, no further enhancement seems to be needed for BWP/beam switching even for the case BWP/beam switching is predictable.</w:t>
      </w:r>
    </w:p>
    <w:p w14:paraId="43CAEAE2" w14:textId="066F71CC" w:rsidR="00DC27C8" w:rsidRPr="007C4E5D" w:rsidRDefault="00087E45" w:rsidP="00FF5766">
      <w:pPr>
        <w:spacing w:line="276" w:lineRule="auto"/>
        <w:rPr>
          <w:rFonts w:eastAsia="Calibri" w:cs="Arial"/>
          <w:bCs/>
          <w:i/>
          <w:iCs/>
          <w:sz w:val="22"/>
          <w:szCs w:val="22"/>
        </w:rPr>
      </w:pPr>
      <w:r w:rsidRPr="007C4E5D">
        <w:rPr>
          <w:rFonts w:eastAsia="Calibri" w:cs="Arial"/>
          <w:b/>
          <w:i/>
          <w:iCs/>
          <w:sz w:val="22"/>
          <w:szCs w:val="22"/>
        </w:rPr>
        <w:t xml:space="preserve">Proposal </w:t>
      </w:r>
      <w:r w:rsidR="0025073D">
        <w:rPr>
          <w:rFonts w:eastAsia="Calibri" w:cs="Arial"/>
          <w:b/>
          <w:i/>
          <w:iCs/>
          <w:sz w:val="22"/>
          <w:szCs w:val="22"/>
        </w:rPr>
        <w:t>1</w:t>
      </w:r>
      <w:r w:rsidRPr="007C4E5D">
        <w:rPr>
          <w:rFonts w:eastAsia="Calibri" w:cs="Arial"/>
          <w:b/>
          <w:i/>
          <w:iCs/>
          <w:sz w:val="22"/>
          <w:szCs w:val="22"/>
        </w:rPr>
        <w:t>:</w:t>
      </w:r>
      <w:r w:rsidRPr="007C4E5D">
        <w:rPr>
          <w:rFonts w:eastAsia="Calibri" w:cs="Arial"/>
          <w:bCs/>
          <w:i/>
          <w:iCs/>
          <w:sz w:val="22"/>
          <w:szCs w:val="22"/>
        </w:rPr>
        <w:t xml:space="preserve"> </w:t>
      </w:r>
      <w:r w:rsidR="00906039">
        <w:rPr>
          <w:rFonts w:eastAsia="Calibri" w:cs="Arial"/>
          <w:bCs/>
          <w:i/>
          <w:iCs/>
          <w:sz w:val="22"/>
          <w:szCs w:val="22"/>
        </w:rPr>
        <w:t>no beam switching enhancement (e.g., a sequence of beam configuration) is supported for NTN</w:t>
      </w:r>
      <w:r w:rsidR="007C0FCE" w:rsidRPr="007C0FCE">
        <w:rPr>
          <w:rFonts w:eastAsia="Calibri" w:cs="Arial"/>
          <w:bCs/>
          <w:i/>
          <w:iCs/>
          <w:sz w:val="22"/>
          <w:szCs w:val="22"/>
        </w:rPr>
        <w:t xml:space="preserve"> </w:t>
      </w:r>
      <w:r w:rsidR="007C0FCE">
        <w:rPr>
          <w:rFonts w:eastAsia="Calibri" w:cs="Arial"/>
          <w:bCs/>
          <w:i/>
          <w:iCs/>
          <w:sz w:val="22"/>
          <w:szCs w:val="22"/>
        </w:rPr>
        <w:t>in Rel-17</w:t>
      </w:r>
      <w:r w:rsidR="001A3F2D">
        <w:rPr>
          <w:rFonts w:eastAsia="Calibri" w:cs="Arial"/>
          <w:bCs/>
          <w:i/>
          <w:iCs/>
          <w:sz w:val="22"/>
          <w:szCs w:val="22"/>
        </w:rPr>
        <w:t>.</w:t>
      </w:r>
    </w:p>
    <w:p w14:paraId="60680CEE" w14:textId="12C4F5BC" w:rsidR="0064330C" w:rsidRDefault="0064330C" w:rsidP="00FF5766">
      <w:pPr>
        <w:spacing w:line="276" w:lineRule="auto"/>
        <w:rPr>
          <w:rFonts w:eastAsia="Calibri" w:cs="Arial"/>
          <w:bCs/>
          <w:sz w:val="22"/>
          <w:szCs w:val="22"/>
        </w:rPr>
      </w:pPr>
    </w:p>
    <w:p w14:paraId="791ECF0F" w14:textId="29666F65" w:rsidR="0064330C" w:rsidRPr="00D55683" w:rsidRDefault="0064330C" w:rsidP="00D55683">
      <w:pPr>
        <w:pStyle w:val="Heading2"/>
        <w:rPr>
          <w:sz w:val="28"/>
          <w:szCs w:val="28"/>
        </w:rPr>
      </w:pPr>
      <w:r w:rsidRPr="00D55683">
        <w:rPr>
          <w:sz w:val="28"/>
          <w:szCs w:val="28"/>
        </w:rPr>
        <w:t xml:space="preserve">UE group-based beam management   </w:t>
      </w:r>
    </w:p>
    <w:p w14:paraId="78BAB29B" w14:textId="74D463C5" w:rsidR="00D56247" w:rsidRDefault="0064330C" w:rsidP="00FF5766">
      <w:pPr>
        <w:spacing w:line="276" w:lineRule="auto"/>
        <w:rPr>
          <w:rFonts w:eastAsia="Calibri" w:cs="Arial"/>
          <w:bCs/>
          <w:sz w:val="22"/>
          <w:szCs w:val="22"/>
        </w:rPr>
      </w:pPr>
      <w:r>
        <w:rPr>
          <w:rFonts w:eastAsia="Calibri" w:cs="Arial"/>
          <w:bCs/>
          <w:sz w:val="22"/>
          <w:szCs w:val="22"/>
        </w:rPr>
        <w:t>It has been proposed to support a group common BWP/beam switching as a group of UEs located in similar geographical location may experience the same BWP/beam switching in earth moving cell scenarios. Therefore, a</w:t>
      </w:r>
      <w:r w:rsidR="006B1ECA">
        <w:rPr>
          <w:rFonts w:eastAsia="Calibri" w:cs="Arial"/>
          <w:bCs/>
          <w:sz w:val="22"/>
          <w:szCs w:val="22"/>
        </w:rPr>
        <w:t xml:space="preserve"> group common BWP/beam switching indication can be used</w:t>
      </w:r>
      <w:r w:rsidR="00D56247">
        <w:rPr>
          <w:rFonts w:eastAsia="Calibri" w:cs="Arial"/>
          <w:bCs/>
          <w:sz w:val="22"/>
          <w:szCs w:val="22"/>
        </w:rPr>
        <w:t xml:space="preserve"> as a group of UEs may have a similar pattern of BWP/beam switching. However, each UE in the same region still needs to perform BWP/beam switching in a different time based on the UE’s location. With this observation, a group common BWP/beam switching indication seems not working unless each UE and the gNB knows exact switching timing which seems to be complicated and/or require higher specification efforts. Therefore, UE specific BWP/beam switching seems to be enough as similar to the TN</w:t>
      </w:r>
      <w:r>
        <w:rPr>
          <w:rFonts w:eastAsia="Calibri" w:cs="Arial"/>
          <w:bCs/>
          <w:sz w:val="22"/>
          <w:szCs w:val="22"/>
        </w:rPr>
        <w:t>.</w:t>
      </w:r>
    </w:p>
    <w:p w14:paraId="2A7A1646" w14:textId="679D493B" w:rsidR="00324B49" w:rsidRDefault="00324B49" w:rsidP="00324B49">
      <w:pPr>
        <w:spacing w:line="276" w:lineRule="auto"/>
        <w:rPr>
          <w:rFonts w:eastAsia="Calibri" w:cs="Arial"/>
          <w:bCs/>
          <w:i/>
          <w:iCs/>
          <w:sz w:val="22"/>
          <w:szCs w:val="22"/>
        </w:rPr>
      </w:pPr>
      <w:r w:rsidRPr="00E050B1">
        <w:rPr>
          <w:rFonts w:eastAsia="Calibri" w:cs="Arial"/>
          <w:b/>
          <w:i/>
          <w:iCs/>
          <w:sz w:val="22"/>
          <w:szCs w:val="22"/>
        </w:rPr>
        <w:t xml:space="preserve">Proposal </w:t>
      </w:r>
      <w:r w:rsidR="0025073D">
        <w:rPr>
          <w:rFonts w:eastAsia="Calibri" w:cs="Arial"/>
          <w:b/>
          <w:i/>
          <w:iCs/>
          <w:sz w:val="22"/>
          <w:szCs w:val="22"/>
        </w:rPr>
        <w:t>2</w:t>
      </w:r>
      <w:r w:rsidRPr="00E050B1">
        <w:rPr>
          <w:rFonts w:eastAsia="Calibri" w:cs="Arial"/>
          <w:b/>
          <w:i/>
          <w:iCs/>
          <w:sz w:val="22"/>
          <w:szCs w:val="22"/>
        </w:rPr>
        <w:t>:</w:t>
      </w:r>
      <w:r w:rsidRPr="00E050B1">
        <w:rPr>
          <w:rFonts w:eastAsia="Calibri" w:cs="Arial"/>
          <w:bCs/>
          <w:i/>
          <w:iCs/>
          <w:sz w:val="22"/>
          <w:szCs w:val="22"/>
        </w:rPr>
        <w:t xml:space="preserve"> </w:t>
      </w:r>
      <w:r w:rsidR="00827AF6">
        <w:rPr>
          <w:rFonts w:eastAsia="Calibri" w:cs="Arial"/>
          <w:bCs/>
          <w:i/>
          <w:iCs/>
          <w:sz w:val="22"/>
          <w:szCs w:val="22"/>
        </w:rPr>
        <w:t xml:space="preserve"> </w:t>
      </w:r>
      <w:r w:rsidR="00D56247">
        <w:rPr>
          <w:rFonts w:eastAsia="Calibri" w:cs="Arial"/>
          <w:bCs/>
          <w:i/>
          <w:iCs/>
          <w:sz w:val="22"/>
          <w:szCs w:val="22"/>
        </w:rPr>
        <w:t>no group common BWP/beam switching indication is supported for NTN</w:t>
      </w:r>
      <w:r w:rsidR="007C0FCE" w:rsidRPr="007C0FCE">
        <w:rPr>
          <w:rFonts w:eastAsia="Calibri" w:cs="Arial"/>
          <w:bCs/>
          <w:i/>
          <w:iCs/>
          <w:sz w:val="22"/>
          <w:szCs w:val="22"/>
        </w:rPr>
        <w:t xml:space="preserve"> </w:t>
      </w:r>
      <w:r w:rsidR="007C0FCE">
        <w:rPr>
          <w:rFonts w:eastAsia="Calibri" w:cs="Arial"/>
          <w:bCs/>
          <w:i/>
          <w:iCs/>
          <w:sz w:val="22"/>
          <w:szCs w:val="22"/>
        </w:rPr>
        <w:t>in Rel-17</w:t>
      </w:r>
      <w:r w:rsidR="00D56247">
        <w:rPr>
          <w:rFonts w:eastAsia="Calibri" w:cs="Arial"/>
          <w:bCs/>
          <w:i/>
          <w:iCs/>
          <w:sz w:val="22"/>
          <w:szCs w:val="22"/>
        </w:rPr>
        <w:t>.</w:t>
      </w:r>
    </w:p>
    <w:p w14:paraId="0834E753" w14:textId="775018C9" w:rsidR="00D56247" w:rsidRDefault="00D56247" w:rsidP="00324B49">
      <w:pPr>
        <w:spacing w:line="276" w:lineRule="auto"/>
        <w:rPr>
          <w:rFonts w:eastAsia="Calibri" w:cs="Arial"/>
          <w:bCs/>
          <w:i/>
          <w:iCs/>
          <w:sz w:val="22"/>
          <w:szCs w:val="22"/>
        </w:rPr>
      </w:pPr>
    </w:p>
    <w:p w14:paraId="15BB5110" w14:textId="1973AF23" w:rsidR="0064330C" w:rsidRPr="00D55683" w:rsidRDefault="00E7243F" w:rsidP="00D55683">
      <w:pPr>
        <w:pStyle w:val="Heading2"/>
        <w:rPr>
          <w:sz w:val="28"/>
          <w:szCs w:val="28"/>
        </w:rPr>
      </w:pPr>
      <w:r w:rsidRPr="00D55683">
        <w:rPr>
          <w:sz w:val="28"/>
          <w:szCs w:val="28"/>
        </w:rPr>
        <w:t>Beam measurement when FRF&gt;1</w:t>
      </w:r>
    </w:p>
    <w:p w14:paraId="56D3C863" w14:textId="723236CF" w:rsidR="0064330C" w:rsidRDefault="0064330C" w:rsidP="00324B49">
      <w:pPr>
        <w:spacing w:line="276" w:lineRule="auto"/>
        <w:rPr>
          <w:rFonts w:eastAsia="Calibri" w:cs="Arial"/>
          <w:bCs/>
          <w:sz w:val="22"/>
          <w:szCs w:val="22"/>
          <w:lang w:val="en-US"/>
        </w:rPr>
      </w:pPr>
      <w:r>
        <w:rPr>
          <w:rFonts w:eastAsia="Calibri" w:cs="Arial"/>
          <w:bCs/>
          <w:sz w:val="22"/>
          <w:szCs w:val="22"/>
          <w:lang w:val="en-US"/>
        </w:rPr>
        <w:t xml:space="preserve">Although current specification supports dynamic BWP switching and trigger beam measurement </w:t>
      </w:r>
      <w:proofErr w:type="spellStart"/>
      <w:r>
        <w:rPr>
          <w:rFonts w:eastAsia="Calibri" w:cs="Arial"/>
          <w:bCs/>
          <w:sz w:val="22"/>
          <w:szCs w:val="22"/>
          <w:lang w:val="en-US"/>
        </w:rPr>
        <w:t>resporting</w:t>
      </w:r>
      <w:proofErr w:type="spellEnd"/>
      <w:r>
        <w:rPr>
          <w:rFonts w:eastAsia="Calibri" w:cs="Arial"/>
          <w:bCs/>
          <w:sz w:val="22"/>
          <w:szCs w:val="22"/>
          <w:lang w:val="en-US"/>
        </w:rPr>
        <w:t xml:space="preserve">, it is not efficient that a gNB triggers BWP switching in each time the gNB want to check the neighboring beam quality (i.e., a neighboring beam associated with another BWP). </w:t>
      </w:r>
    </w:p>
    <w:p w14:paraId="0BFF0762" w14:textId="33D89FB9" w:rsidR="00347139" w:rsidRDefault="0064330C" w:rsidP="00324B49">
      <w:pPr>
        <w:spacing w:line="276" w:lineRule="auto"/>
        <w:rPr>
          <w:rFonts w:eastAsia="Calibri" w:cs="Arial"/>
          <w:bCs/>
          <w:sz w:val="22"/>
          <w:szCs w:val="22"/>
          <w:lang w:val="en-US"/>
        </w:rPr>
      </w:pPr>
      <w:r>
        <w:rPr>
          <w:rFonts w:eastAsia="Calibri" w:cs="Arial"/>
          <w:bCs/>
          <w:sz w:val="22"/>
          <w:szCs w:val="22"/>
          <w:lang w:val="en-US"/>
        </w:rPr>
        <w:t xml:space="preserve">In </w:t>
      </w:r>
      <w:r w:rsidR="007607D1">
        <w:rPr>
          <w:rFonts w:eastAsia="Calibri" w:cs="Arial"/>
          <w:bCs/>
          <w:sz w:val="22"/>
          <w:szCs w:val="22"/>
          <w:lang w:val="en-US"/>
        </w:rPr>
        <w:t xml:space="preserve">a </w:t>
      </w:r>
      <w:r>
        <w:rPr>
          <w:rFonts w:eastAsia="Calibri" w:cs="Arial"/>
          <w:bCs/>
          <w:sz w:val="22"/>
          <w:szCs w:val="22"/>
          <w:lang w:val="en-US"/>
        </w:rPr>
        <w:t>beam overlapping area, it may be beneficial that a UE could report beam quality of the beams associated with other BWPs regularly</w:t>
      </w:r>
      <w:r w:rsidR="007607D1">
        <w:rPr>
          <w:rFonts w:eastAsia="Calibri" w:cs="Arial"/>
          <w:bCs/>
          <w:sz w:val="22"/>
          <w:szCs w:val="22"/>
          <w:lang w:val="en-US"/>
        </w:rPr>
        <w:t xml:space="preserve"> so that gNB can switch to a proper BWP when it is needed. </w:t>
      </w:r>
      <w:r w:rsidR="007607D1">
        <w:rPr>
          <w:rFonts w:eastAsia="Calibri" w:cs="Arial"/>
          <w:bCs/>
          <w:sz w:val="22"/>
          <w:szCs w:val="22"/>
          <w:lang w:val="en-US"/>
        </w:rPr>
        <w:lastRenderedPageBreak/>
        <w:t>As a beam is similar to a cell (or a virtual cell when PCI is not allocated) in NTN, seamless transition from a beam to another beam</w:t>
      </w:r>
      <w:r w:rsidR="00347139">
        <w:rPr>
          <w:rFonts w:eastAsia="Calibri" w:cs="Arial"/>
          <w:bCs/>
          <w:sz w:val="22"/>
          <w:szCs w:val="22"/>
          <w:lang w:val="en-US"/>
        </w:rPr>
        <w:t xml:space="preserve"> based on UE mobility</w:t>
      </w:r>
      <w:r w:rsidR="007607D1">
        <w:rPr>
          <w:rFonts w:eastAsia="Calibri" w:cs="Arial"/>
          <w:bCs/>
          <w:sz w:val="22"/>
          <w:szCs w:val="22"/>
          <w:lang w:val="en-US"/>
        </w:rPr>
        <w:t xml:space="preserve"> is important in order to avoid unnecessary beam failure.</w:t>
      </w:r>
      <w:r w:rsidR="00347139">
        <w:rPr>
          <w:rFonts w:eastAsia="Calibri" w:cs="Arial"/>
          <w:bCs/>
          <w:sz w:val="22"/>
          <w:szCs w:val="22"/>
          <w:lang w:val="en-US"/>
        </w:rPr>
        <w:t xml:space="preserve"> To enable periodic (or event-driven) measurement of beams in other BWPs when FRF&gt;1, a measurement gap has to be introduced </w:t>
      </w:r>
      <w:proofErr w:type="spellStart"/>
      <w:r w:rsidR="00347139">
        <w:rPr>
          <w:rFonts w:eastAsia="Calibri" w:cs="Arial"/>
          <w:bCs/>
          <w:sz w:val="22"/>
          <w:szCs w:val="22"/>
          <w:lang w:val="en-US"/>
        </w:rPr>
        <w:t>durning</w:t>
      </w:r>
      <w:proofErr w:type="spellEnd"/>
      <w:r w:rsidR="00347139">
        <w:rPr>
          <w:rFonts w:eastAsia="Calibri" w:cs="Arial"/>
          <w:bCs/>
          <w:sz w:val="22"/>
          <w:szCs w:val="22"/>
          <w:lang w:val="en-US"/>
        </w:rPr>
        <w:t xml:space="preserve"> which a UE may skip PDCCH monitoring and/or UL transmission in the active BWP and return to the active BWP after finishing the beam measurement in other BWPs.</w:t>
      </w:r>
    </w:p>
    <w:p w14:paraId="53AE10B8" w14:textId="2DDD2732" w:rsidR="00347139" w:rsidRDefault="00347139" w:rsidP="00347139">
      <w:pPr>
        <w:spacing w:line="276" w:lineRule="auto"/>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3</w:t>
      </w:r>
      <w:r w:rsidRPr="00E050B1">
        <w:rPr>
          <w:rFonts w:eastAsia="Calibri" w:cs="Arial"/>
          <w:b/>
          <w:i/>
          <w:iCs/>
          <w:sz w:val="22"/>
          <w:szCs w:val="22"/>
        </w:rPr>
        <w:t>:</w:t>
      </w:r>
      <w:r w:rsidRPr="00E050B1">
        <w:rPr>
          <w:rFonts w:eastAsia="Calibri" w:cs="Arial"/>
          <w:bCs/>
          <w:i/>
          <w:iCs/>
          <w:sz w:val="22"/>
          <w:szCs w:val="22"/>
        </w:rPr>
        <w:t xml:space="preserve"> </w:t>
      </w:r>
      <w:r>
        <w:rPr>
          <w:rFonts w:eastAsia="Calibri" w:cs="Arial"/>
          <w:bCs/>
          <w:i/>
          <w:iCs/>
          <w:sz w:val="22"/>
          <w:szCs w:val="22"/>
        </w:rPr>
        <w:t xml:space="preserve"> support beam measurements in inactive BWPs in the case of FRF&gt;1 for seamless beam trans</w:t>
      </w:r>
      <w:r w:rsidR="00D9246C">
        <w:rPr>
          <w:rFonts w:eastAsia="Calibri" w:cs="Arial"/>
          <w:bCs/>
          <w:i/>
          <w:iCs/>
          <w:sz w:val="22"/>
          <w:szCs w:val="22"/>
        </w:rPr>
        <w:t>ition</w:t>
      </w:r>
      <w:r>
        <w:rPr>
          <w:rFonts w:eastAsia="Calibri" w:cs="Arial"/>
          <w:bCs/>
          <w:i/>
          <w:iCs/>
          <w:sz w:val="22"/>
          <w:szCs w:val="22"/>
        </w:rPr>
        <w:t>.</w:t>
      </w:r>
    </w:p>
    <w:p w14:paraId="38B9BC3C" w14:textId="294CD86E" w:rsidR="00347139" w:rsidRDefault="00347139" w:rsidP="00347139">
      <w:pPr>
        <w:spacing w:line="276" w:lineRule="auto"/>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4</w:t>
      </w:r>
      <w:r w:rsidRPr="00E050B1">
        <w:rPr>
          <w:rFonts w:eastAsia="Calibri" w:cs="Arial"/>
          <w:b/>
          <w:i/>
          <w:iCs/>
          <w:sz w:val="22"/>
          <w:szCs w:val="22"/>
        </w:rPr>
        <w:t>:</w:t>
      </w:r>
      <w:r w:rsidRPr="00E050B1">
        <w:rPr>
          <w:rFonts w:eastAsia="Calibri" w:cs="Arial"/>
          <w:bCs/>
          <w:i/>
          <w:iCs/>
          <w:sz w:val="22"/>
          <w:szCs w:val="22"/>
        </w:rPr>
        <w:t xml:space="preserve"> </w:t>
      </w:r>
      <w:r>
        <w:rPr>
          <w:rFonts w:eastAsia="Calibri" w:cs="Arial"/>
          <w:bCs/>
          <w:i/>
          <w:iCs/>
          <w:sz w:val="22"/>
          <w:szCs w:val="22"/>
        </w:rPr>
        <w:t xml:space="preserve"> a measurement gap can be used for a UE to measure beam quality in inactive BWPs.</w:t>
      </w:r>
    </w:p>
    <w:p w14:paraId="4E5722B1" w14:textId="3C2F3B95" w:rsidR="004A0764" w:rsidRPr="00D55683" w:rsidRDefault="004A0764" w:rsidP="00324B49">
      <w:pPr>
        <w:spacing w:line="276" w:lineRule="auto"/>
        <w:rPr>
          <w:rFonts w:eastAsia="Calibri" w:cs="Arial"/>
          <w:bCs/>
          <w:sz w:val="22"/>
          <w:szCs w:val="22"/>
        </w:rPr>
      </w:pPr>
      <w:r>
        <w:rPr>
          <w:rFonts w:eastAsia="Calibri" w:cs="Arial"/>
          <w:bCs/>
          <w:sz w:val="22"/>
          <w:szCs w:val="22"/>
        </w:rPr>
        <w:t>A frequen</w:t>
      </w:r>
      <w:r w:rsidR="00E7243F">
        <w:rPr>
          <w:rFonts w:eastAsia="Calibri" w:cs="Arial"/>
          <w:bCs/>
          <w:sz w:val="22"/>
          <w:szCs w:val="22"/>
        </w:rPr>
        <w:t xml:space="preserve">t </w:t>
      </w:r>
      <w:r>
        <w:rPr>
          <w:rFonts w:eastAsia="Calibri" w:cs="Arial"/>
          <w:bCs/>
          <w:sz w:val="22"/>
          <w:szCs w:val="22"/>
        </w:rPr>
        <w:t xml:space="preserve">beam measurement outside active BWPs could affect UE throughput performance as a measurement gap has to be used and during which a UE is not able to transmit/receive a signal in the active BWP. </w:t>
      </w:r>
      <w:r w:rsidR="00E7243F">
        <w:rPr>
          <w:rFonts w:eastAsia="Calibri" w:cs="Arial"/>
          <w:bCs/>
          <w:sz w:val="22"/>
          <w:szCs w:val="22"/>
        </w:rPr>
        <w:t>In this case, the beam measurement outside active BWPs can be limited when the beam quality of current active BWP is lower than a threshold (e.g., similar to beam failure condition).</w:t>
      </w:r>
    </w:p>
    <w:p w14:paraId="384AA6D0" w14:textId="4CF1EB71" w:rsidR="00E7243F" w:rsidRDefault="00E7243F" w:rsidP="00E7243F">
      <w:pPr>
        <w:spacing w:line="276" w:lineRule="auto"/>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5</w:t>
      </w:r>
      <w:r w:rsidRPr="00E050B1">
        <w:rPr>
          <w:rFonts w:eastAsia="Calibri" w:cs="Arial"/>
          <w:b/>
          <w:i/>
          <w:iCs/>
          <w:sz w:val="22"/>
          <w:szCs w:val="22"/>
        </w:rPr>
        <w:t>:</w:t>
      </w:r>
      <w:r w:rsidRPr="00E050B1">
        <w:rPr>
          <w:rFonts w:eastAsia="Calibri" w:cs="Arial"/>
          <w:bCs/>
          <w:i/>
          <w:iCs/>
          <w:sz w:val="22"/>
          <w:szCs w:val="22"/>
        </w:rPr>
        <w:t xml:space="preserve"> </w:t>
      </w:r>
      <w:r>
        <w:rPr>
          <w:rFonts w:eastAsia="Calibri" w:cs="Arial"/>
          <w:bCs/>
          <w:i/>
          <w:iCs/>
          <w:sz w:val="22"/>
          <w:szCs w:val="22"/>
        </w:rPr>
        <w:t xml:space="preserve"> an event-driven beam measurement outside active BWP can be considered to minimize the performance impact from frequent beam measurement outside active BWP.</w:t>
      </w:r>
    </w:p>
    <w:p w14:paraId="0B6D8549" w14:textId="13552EE5" w:rsidR="0064330C" w:rsidRDefault="0064330C" w:rsidP="00324B49">
      <w:pPr>
        <w:spacing w:line="276" w:lineRule="auto"/>
        <w:rPr>
          <w:rFonts w:eastAsia="Calibri" w:cs="Arial"/>
          <w:bCs/>
          <w:sz w:val="22"/>
          <w:szCs w:val="22"/>
        </w:rPr>
      </w:pPr>
    </w:p>
    <w:p w14:paraId="5770B1E3" w14:textId="3DA25477" w:rsidR="00E7243F" w:rsidRPr="00D55683" w:rsidRDefault="00E7243F" w:rsidP="00D55683">
      <w:pPr>
        <w:pStyle w:val="Heading2"/>
        <w:rPr>
          <w:sz w:val="28"/>
          <w:szCs w:val="28"/>
        </w:rPr>
      </w:pPr>
      <w:r w:rsidRPr="00D55683">
        <w:rPr>
          <w:sz w:val="28"/>
          <w:szCs w:val="28"/>
        </w:rPr>
        <w:t>Beam failure recovery in NTN</w:t>
      </w:r>
    </w:p>
    <w:p w14:paraId="4A63939F" w14:textId="77777777" w:rsidR="00E23AC6" w:rsidRDefault="00D37768" w:rsidP="00324B49">
      <w:pPr>
        <w:spacing w:line="276" w:lineRule="auto"/>
        <w:rPr>
          <w:rFonts w:eastAsia="Calibri" w:cs="Arial"/>
          <w:bCs/>
          <w:sz w:val="22"/>
          <w:szCs w:val="22"/>
        </w:rPr>
      </w:pPr>
      <w:r>
        <w:rPr>
          <w:rFonts w:eastAsia="Calibri" w:cs="Arial"/>
          <w:bCs/>
          <w:sz w:val="22"/>
          <w:szCs w:val="22"/>
        </w:rPr>
        <w:t>In Rel-15, beam failure recovery was introduced to handle frequent beam failures which leads to RLF declaration. The beam failure occurs when the quality of all control channel beams (i.e., q0) is below a threshold which means a UE may not</w:t>
      </w:r>
      <w:r w:rsidR="00E23AC6">
        <w:rPr>
          <w:rFonts w:eastAsia="Calibri" w:cs="Arial"/>
          <w:bCs/>
          <w:sz w:val="22"/>
          <w:szCs w:val="22"/>
        </w:rPr>
        <w:t xml:space="preserve"> be able to</w:t>
      </w:r>
      <w:r>
        <w:rPr>
          <w:rFonts w:eastAsia="Calibri" w:cs="Arial"/>
          <w:bCs/>
          <w:sz w:val="22"/>
          <w:szCs w:val="22"/>
        </w:rPr>
        <w:t xml:space="preserve"> receive </w:t>
      </w:r>
      <w:r w:rsidR="00E23AC6">
        <w:rPr>
          <w:rFonts w:eastAsia="Calibri" w:cs="Arial"/>
          <w:bCs/>
          <w:sz w:val="22"/>
          <w:szCs w:val="22"/>
        </w:rPr>
        <w:t xml:space="preserve">a DCI </w:t>
      </w:r>
      <w:r>
        <w:rPr>
          <w:rFonts w:eastAsia="Calibri" w:cs="Arial"/>
          <w:bCs/>
          <w:sz w:val="22"/>
          <w:szCs w:val="22"/>
        </w:rPr>
        <w:t>with current beams configured for the CORESETs associated with the search spaces.</w:t>
      </w:r>
      <w:r w:rsidR="00E23AC6">
        <w:rPr>
          <w:rFonts w:eastAsia="Calibri" w:cs="Arial"/>
          <w:bCs/>
          <w:sz w:val="22"/>
          <w:szCs w:val="22"/>
        </w:rPr>
        <w:t xml:space="preserve"> In TN, it can happen dynamically and frequently as UE rotation/blockage could result in beam failure.</w:t>
      </w:r>
    </w:p>
    <w:p w14:paraId="32605A9D" w14:textId="77777777" w:rsidR="005155EB" w:rsidRDefault="00E23AC6" w:rsidP="00324B49">
      <w:pPr>
        <w:spacing w:line="276" w:lineRule="auto"/>
        <w:rPr>
          <w:rFonts w:eastAsia="Calibri" w:cs="Arial"/>
          <w:bCs/>
          <w:sz w:val="22"/>
          <w:szCs w:val="22"/>
        </w:rPr>
      </w:pPr>
      <w:r>
        <w:rPr>
          <w:rFonts w:eastAsia="Calibri" w:cs="Arial"/>
          <w:bCs/>
          <w:sz w:val="22"/>
          <w:szCs w:val="22"/>
        </w:rPr>
        <w:t xml:space="preserve">Unlike TN, a beam is associated with a geographical area in NTN which could be a cell if PCI is assigned to each beam. Therefore, a UE may be associated with a single beam within a certain geographical area and beam failure could mean that the UE is no longer in the coverage of the beam configured for the monitoring search spaces. The switch from one beam to another will happen slowly and linearly in NTN considering the large beam footprint. Therefore, it is unclear whether there is a beam failure case </w:t>
      </w:r>
      <w:r w:rsidR="005155EB">
        <w:rPr>
          <w:rFonts w:eastAsia="Calibri" w:cs="Arial"/>
          <w:bCs/>
          <w:sz w:val="22"/>
          <w:szCs w:val="22"/>
        </w:rPr>
        <w:t>to handle in NTN scenario.</w:t>
      </w:r>
    </w:p>
    <w:p w14:paraId="0ADEABFB" w14:textId="77777777" w:rsidR="005155EB" w:rsidRPr="00D55683" w:rsidRDefault="005155EB" w:rsidP="00324B49">
      <w:pPr>
        <w:spacing w:line="276" w:lineRule="auto"/>
        <w:rPr>
          <w:rFonts w:eastAsia="Calibri" w:cs="Arial"/>
          <w:bCs/>
          <w:i/>
          <w:iCs/>
          <w:sz w:val="22"/>
          <w:szCs w:val="22"/>
        </w:rPr>
      </w:pPr>
      <w:r w:rsidRPr="00D55683">
        <w:rPr>
          <w:rFonts w:eastAsia="Calibri" w:cs="Arial"/>
          <w:b/>
          <w:i/>
          <w:iCs/>
          <w:sz w:val="22"/>
          <w:szCs w:val="22"/>
        </w:rPr>
        <w:t xml:space="preserve">Observation-1: </w:t>
      </w:r>
      <w:r w:rsidRPr="00D55683">
        <w:rPr>
          <w:rFonts w:eastAsia="Calibri" w:cs="Arial"/>
          <w:bCs/>
          <w:i/>
          <w:iCs/>
          <w:sz w:val="22"/>
          <w:szCs w:val="22"/>
        </w:rPr>
        <w:t>the beam failure scenarios assumed</w:t>
      </w:r>
      <w:r w:rsidR="00E23AC6" w:rsidRPr="00D55683">
        <w:rPr>
          <w:rFonts w:eastAsia="Calibri" w:cs="Arial"/>
          <w:bCs/>
          <w:i/>
          <w:iCs/>
          <w:sz w:val="22"/>
          <w:szCs w:val="22"/>
        </w:rPr>
        <w:t xml:space="preserve"> </w:t>
      </w:r>
      <w:r w:rsidRPr="00D55683">
        <w:rPr>
          <w:rFonts w:eastAsia="Calibri" w:cs="Arial"/>
          <w:bCs/>
          <w:i/>
          <w:iCs/>
          <w:sz w:val="22"/>
          <w:szCs w:val="22"/>
        </w:rPr>
        <w:t>in TN are no longer valid in NTN deployment.</w:t>
      </w:r>
    </w:p>
    <w:p w14:paraId="4460ACAC" w14:textId="77777777" w:rsidR="00CC6386" w:rsidRDefault="00CC6386" w:rsidP="00324B49">
      <w:pPr>
        <w:spacing w:line="276" w:lineRule="auto"/>
        <w:rPr>
          <w:rFonts w:eastAsia="Calibri" w:cs="Arial"/>
          <w:bCs/>
          <w:sz w:val="22"/>
          <w:szCs w:val="22"/>
        </w:rPr>
      </w:pPr>
      <w:r>
        <w:rPr>
          <w:rFonts w:eastAsia="Calibri" w:cs="Arial"/>
          <w:bCs/>
          <w:sz w:val="22"/>
          <w:szCs w:val="22"/>
        </w:rPr>
        <w:t xml:space="preserve">The beam failure recovery procedure requires for a UE to monitor/measure the quality of current control channel beams (i.e., q0) as well as new candidate beams (i.e., q1). When certain conditions are met, a UE can try to switch the beam to one of the beams selected from q1 which is referred to as </w:t>
      </w:r>
      <w:proofErr w:type="spellStart"/>
      <w:r>
        <w:rPr>
          <w:rFonts w:eastAsia="Calibri" w:cs="Arial"/>
          <w:bCs/>
          <w:sz w:val="22"/>
          <w:szCs w:val="22"/>
        </w:rPr>
        <w:t>qnew</w:t>
      </w:r>
      <w:proofErr w:type="spellEnd"/>
      <w:r>
        <w:rPr>
          <w:rFonts w:eastAsia="Calibri" w:cs="Arial"/>
          <w:bCs/>
          <w:sz w:val="22"/>
          <w:szCs w:val="22"/>
        </w:rPr>
        <w:t xml:space="preserve"> via an associated PRACH resource configured.</w:t>
      </w:r>
    </w:p>
    <w:p w14:paraId="757E35BA" w14:textId="77777777" w:rsidR="00E71553" w:rsidRDefault="00E71553" w:rsidP="00324B49">
      <w:pPr>
        <w:spacing w:line="276" w:lineRule="auto"/>
        <w:rPr>
          <w:rFonts w:eastAsia="Calibri" w:cs="Arial"/>
          <w:bCs/>
          <w:sz w:val="22"/>
          <w:szCs w:val="22"/>
        </w:rPr>
      </w:pPr>
      <w:r>
        <w:rPr>
          <w:rFonts w:eastAsia="Calibri" w:cs="Arial"/>
          <w:bCs/>
          <w:sz w:val="22"/>
          <w:szCs w:val="22"/>
        </w:rPr>
        <w:t>In order to support the beam failure procedure in NTN especially when FRF&gt;1, following issues need to be addressed:</w:t>
      </w:r>
    </w:p>
    <w:p w14:paraId="50925991" w14:textId="2C72C35A" w:rsidR="000B4290" w:rsidRPr="00D55683" w:rsidRDefault="000B4290" w:rsidP="000B4290">
      <w:pPr>
        <w:pStyle w:val="ListParagraph"/>
        <w:numPr>
          <w:ilvl w:val="0"/>
          <w:numId w:val="32"/>
        </w:numPr>
        <w:spacing w:line="276" w:lineRule="auto"/>
        <w:rPr>
          <w:rFonts w:ascii="Arial" w:eastAsia="Calibri" w:hAnsi="Arial" w:cs="Arial"/>
          <w:bCs/>
        </w:rPr>
      </w:pPr>
      <w:r w:rsidRPr="00D55683">
        <w:rPr>
          <w:rFonts w:ascii="Arial" w:eastAsia="Calibri" w:hAnsi="Arial" w:cs="Arial"/>
          <w:bCs/>
        </w:rPr>
        <w:t>New candidate beam</w:t>
      </w:r>
      <w:r w:rsidR="00012284" w:rsidRPr="00D55683">
        <w:rPr>
          <w:rFonts w:ascii="Arial" w:eastAsia="Calibri" w:hAnsi="Arial" w:cs="Arial"/>
          <w:bCs/>
        </w:rPr>
        <w:t xml:space="preserve"> RS</w:t>
      </w:r>
      <w:r w:rsidRPr="00D55683">
        <w:rPr>
          <w:rFonts w:ascii="Arial" w:eastAsia="Calibri" w:hAnsi="Arial" w:cs="Arial"/>
          <w:bCs/>
        </w:rPr>
        <w:t xml:space="preserve"> (q1)</w:t>
      </w:r>
      <w:r w:rsidR="00012284" w:rsidRPr="00D55683">
        <w:rPr>
          <w:rFonts w:ascii="Arial" w:eastAsia="Calibri" w:hAnsi="Arial" w:cs="Arial"/>
          <w:bCs/>
        </w:rPr>
        <w:t xml:space="preserve"> configuration </w:t>
      </w:r>
      <w:r w:rsidRPr="00D55683">
        <w:rPr>
          <w:rFonts w:ascii="Arial" w:eastAsia="Calibri" w:hAnsi="Arial" w:cs="Arial"/>
          <w:bCs/>
        </w:rPr>
        <w:t>with multiple BWPs.</w:t>
      </w:r>
    </w:p>
    <w:p w14:paraId="6572EF16" w14:textId="4C99AC78" w:rsidR="000B4290" w:rsidRPr="00D55683" w:rsidRDefault="000B4290" w:rsidP="000B4290">
      <w:pPr>
        <w:pStyle w:val="ListParagraph"/>
        <w:numPr>
          <w:ilvl w:val="1"/>
          <w:numId w:val="32"/>
        </w:numPr>
        <w:spacing w:line="276" w:lineRule="auto"/>
        <w:rPr>
          <w:rFonts w:ascii="Arial" w:eastAsia="Calibri" w:hAnsi="Arial" w:cs="Arial"/>
          <w:bCs/>
        </w:rPr>
      </w:pPr>
      <w:r w:rsidRPr="00D55683">
        <w:rPr>
          <w:rFonts w:ascii="Arial" w:eastAsia="Calibri" w:hAnsi="Arial" w:cs="Arial"/>
          <w:bCs/>
        </w:rPr>
        <w:t>Assuming that a beam is associated with a BWP, the reference signals for new candidate beams will be located in other BWPs (e.g., neighboring beams). However, current specification only supports the case where all measurement RS in q1 is located in the same active BWP.</w:t>
      </w:r>
    </w:p>
    <w:p w14:paraId="4EFB53FD" w14:textId="5C33C2FC" w:rsidR="000B4290" w:rsidRPr="00D55683" w:rsidRDefault="000B4290" w:rsidP="000B4290">
      <w:pPr>
        <w:pStyle w:val="ListParagraph"/>
        <w:numPr>
          <w:ilvl w:val="0"/>
          <w:numId w:val="32"/>
        </w:numPr>
        <w:spacing w:line="276" w:lineRule="auto"/>
        <w:rPr>
          <w:rFonts w:ascii="Arial" w:eastAsia="Calibri" w:hAnsi="Arial" w:cs="Arial"/>
          <w:bCs/>
        </w:rPr>
      </w:pPr>
      <w:r w:rsidRPr="00D55683">
        <w:rPr>
          <w:rFonts w:ascii="Arial" w:eastAsia="Calibri" w:hAnsi="Arial" w:cs="Arial"/>
          <w:bCs/>
        </w:rPr>
        <w:t xml:space="preserve">PRACH transmission associated with the new beam (i.e., </w:t>
      </w:r>
      <w:proofErr w:type="spellStart"/>
      <w:r w:rsidRPr="00D55683">
        <w:rPr>
          <w:rFonts w:ascii="Arial" w:eastAsia="Calibri" w:hAnsi="Arial" w:cs="Arial"/>
          <w:bCs/>
        </w:rPr>
        <w:t>qnew</w:t>
      </w:r>
      <w:proofErr w:type="spellEnd"/>
      <w:r w:rsidRPr="00D55683">
        <w:rPr>
          <w:rFonts w:ascii="Arial" w:eastAsia="Calibri" w:hAnsi="Arial" w:cs="Arial"/>
          <w:bCs/>
        </w:rPr>
        <w:t>)</w:t>
      </w:r>
    </w:p>
    <w:p w14:paraId="48CC1CB5" w14:textId="59232DC7" w:rsidR="000B4290" w:rsidRPr="00D55683" w:rsidRDefault="000B4290" w:rsidP="00D55683">
      <w:pPr>
        <w:pStyle w:val="ListParagraph"/>
        <w:numPr>
          <w:ilvl w:val="1"/>
          <w:numId w:val="32"/>
        </w:numPr>
        <w:spacing w:line="276" w:lineRule="auto"/>
        <w:rPr>
          <w:rFonts w:ascii="Arial" w:eastAsia="Calibri" w:hAnsi="Arial" w:cs="Arial"/>
          <w:bCs/>
        </w:rPr>
      </w:pPr>
      <w:r w:rsidRPr="00D55683">
        <w:rPr>
          <w:rFonts w:ascii="Arial" w:eastAsia="Calibri" w:hAnsi="Arial" w:cs="Arial"/>
          <w:bCs/>
        </w:rPr>
        <w:lastRenderedPageBreak/>
        <w:t xml:space="preserve">The PRACH resource associated with beams in q1 is located in the active BWP. For FRF&gt;1 case, a UE may need to switch to a BWP associated with </w:t>
      </w:r>
      <w:proofErr w:type="spellStart"/>
      <w:r w:rsidRPr="00D55683">
        <w:rPr>
          <w:rFonts w:ascii="Arial" w:eastAsia="Calibri" w:hAnsi="Arial" w:cs="Arial"/>
          <w:bCs/>
        </w:rPr>
        <w:t>qnew</w:t>
      </w:r>
      <w:proofErr w:type="spellEnd"/>
      <w:r w:rsidRPr="00D55683">
        <w:rPr>
          <w:rFonts w:ascii="Arial" w:eastAsia="Calibri" w:hAnsi="Arial" w:cs="Arial"/>
          <w:bCs/>
        </w:rPr>
        <w:t xml:space="preserve"> beam for the PRACH transmission which is not supported in current specification.</w:t>
      </w:r>
    </w:p>
    <w:p w14:paraId="3E7A5195" w14:textId="6C850833" w:rsidR="000B4290" w:rsidRPr="00D55683" w:rsidRDefault="000B4290" w:rsidP="000B4290">
      <w:pPr>
        <w:pStyle w:val="ListParagraph"/>
        <w:numPr>
          <w:ilvl w:val="0"/>
          <w:numId w:val="32"/>
        </w:numPr>
        <w:spacing w:line="276" w:lineRule="auto"/>
        <w:rPr>
          <w:rFonts w:ascii="Arial" w:eastAsia="Calibri" w:hAnsi="Arial" w:cs="Arial"/>
          <w:bCs/>
        </w:rPr>
      </w:pPr>
      <w:r w:rsidRPr="00D55683">
        <w:rPr>
          <w:rFonts w:ascii="Arial" w:eastAsia="Calibri" w:hAnsi="Arial" w:cs="Arial"/>
          <w:bCs/>
        </w:rPr>
        <w:t>BFR search space (</w:t>
      </w:r>
      <w:proofErr w:type="spellStart"/>
      <w:r w:rsidRPr="00D55683">
        <w:rPr>
          <w:rFonts w:ascii="Arial" w:eastAsia="Calibri" w:hAnsi="Arial" w:cs="Arial"/>
          <w:bCs/>
        </w:rPr>
        <w:t>recoverySearchSpace</w:t>
      </w:r>
      <w:proofErr w:type="spellEnd"/>
      <w:r w:rsidRPr="00D55683">
        <w:rPr>
          <w:rFonts w:ascii="Arial" w:eastAsia="Calibri" w:hAnsi="Arial" w:cs="Arial"/>
          <w:bCs/>
        </w:rPr>
        <w:t>)</w:t>
      </w:r>
      <w:r w:rsidR="009325CB">
        <w:rPr>
          <w:rFonts w:ascii="Arial" w:eastAsia="Calibri" w:hAnsi="Arial" w:cs="Arial"/>
          <w:bCs/>
        </w:rPr>
        <w:t xml:space="preserve"> monitoring</w:t>
      </w:r>
      <w:r w:rsidRPr="00D55683">
        <w:rPr>
          <w:rFonts w:ascii="Arial" w:eastAsia="Calibri" w:hAnsi="Arial" w:cs="Arial"/>
          <w:bCs/>
        </w:rPr>
        <w:t>.</w:t>
      </w:r>
    </w:p>
    <w:p w14:paraId="38F3AC6E" w14:textId="4554583F" w:rsidR="000B4290" w:rsidRDefault="000B4290" w:rsidP="000B4290">
      <w:pPr>
        <w:pStyle w:val="ListParagraph"/>
        <w:numPr>
          <w:ilvl w:val="1"/>
          <w:numId w:val="32"/>
        </w:numPr>
        <w:spacing w:line="276" w:lineRule="auto"/>
        <w:rPr>
          <w:rFonts w:ascii="Arial" w:eastAsia="Calibri" w:hAnsi="Arial" w:cs="Arial"/>
          <w:bCs/>
        </w:rPr>
      </w:pPr>
      <w:r w:rsidRPr="00D55683">
        <w:rPr>
          <w:rFonts w:ascii="Arial" w:eastAsia="Calibri" w:hAnsi="Arial" w:cs="Arial"/>
          <w:bCs/>
        </w:rPr>
        <w:t xml:space="preserve">The BFR search space is monitored </w:t>
      </w:r>
      <w:r>
        <w:rPr>
          <w:rFonts w:ascii="Arial" w:eastAsia="Calibri" w:hAnsi="Arial" w:cs="Arial"/>
          <w:bCs/>
        </w:rPr>
        <w:t xml:space="preserve">by the UE </w:t>
      </w:r>
      <w:r w:rsidRPr="00D55683">
        <w:rPr>
          <w:rFonts w:ascii="Arial" w:eastAsia="Calibri" w:hAnsi="Arial" w:cs="Arial"/>
          <w:bCs/>
        </w:rPr>
        <w:t>with the new beam (</w:t>
      </w:r>
      <w:proofErr w:type="spellStart"/>
      <w:r w:rsidRPr="00D55683">
        <w:rPr>
          <w:rFonts w:ascii="Arial" w:eastAsia="Calibri" w:hAnsi="Arial" w:cs="Arial"/>
          <w:bCs/>
        </w:rPr>
        <w:t>qnew</w:t>
      </w:r>
      <w:proofErr w:type="spellEnd"/>
      <w:r w:rsidRPr="00D55683">
        <w:rPr>
          <w:rFonts w:ascii="Arial" w:eastAsia="Calibri" w:hAnsi="Arial" w:cs="Arial"/>
          <w:bCs/>
        </w:rPr>
        <w:t>) requested to gNB. Therefore, when a UE monitors BFR search space, the UE has to switch to the BWP associated with the new beam requested, which is not supported in the current specification.</w:t>
      </w:r>
    </w:p>
    <w:p w14:paraId="4FCA334A" w14:textId="4222B972" w:rsidR="009325CB" w:rsidRDefault="009325CB" w:rsidP="000B4290">
      <w:pPr>
        <w:pStyle w:val="ListParagraph"/>
        <w:numPr>
          <w:ilvl w:val="1"/>
          <w:numId w:val="32"/>
        </w:numPr>
        <w:spacing w:line="276" w:lineRule="auto"/>
        <w:rPr>
          <w:rFonts w:ascii="Arial" w:eastAsia="Calibri" w:hAnsi="Arial" w:cs="Arial"/>
          <w:bCs/>
        </w:rPr>
      </w:pPr>
      <w:r>
        <w:rPr>
          <w:rFonts w:ascii="Arial" w:eastAsia="Calibri" w:hAnsi="Arial" w:cs="Arial"/>
          <w:bCs/>
        </w:rPr>
        <w:t>The BFR search space is monitored starting from n+4 slots later when beam failure recovery request is sent in slot n. It can be optimized further by adding additional delay (</w:t>
      </w:r>
      <w:proofErr w:type="spellStart"/>
      <w:r>
        <w:rPr>
          <w:rFonts w:ascii="Arial" w:eastAsia="Calibri" w:hAnsi="Arial" w:cs="Arial"/>
          <w:bCs/>
        </w:rPr>
        <w:t>Kmac</w:t>
      </w:r>
      <w:proofErr w:type="spellEnd"/>
      <w:r>
        <w:rPr>
          <w:rFonts w:ascii="Arial" w:eastAsia="Calibri" w:hAnsi="Arial" w:cs="Arial"/>
          <w:bCs/>
        </w:rPr>
        <w:t>)</w:t>
      </w:r>
    </w:p>
    <w:p w14:paraId="2C2E9C99" w14:textId="1B1650DF" w:rsidR="009325CB" w:rsidRDefault="009325CB" w:rsidP="009325CB">
      <w:pPr>
        <w:pStyle w:val="ListParagraph"/>
        <w:numPr>
          <w:ilvl w:val="0"/>
          <w:numId w:val="32"/>
        </w:numPr>
        <w:spacing w:line="276" w:lineRule="auto"/>
        <w:rPr>
          <w:rFonts w:ascii="Arial" w:eastAsia="Calibri" w:hAnsi="Arial" w:cs="Arial"/>
          <w:bCs/>
        </w:rPr>
      </w:pPr>
      <w:r>
        <w:rPr>
          <w:rFonts w:ascii="Arial" w:eastAsia="Calibri" w:hAnsi="Arial" w:cs="Arial"/>
          <w:bCs/>
        </w:rPr>
        <w:t xml:space="preserve">PUCCH transmission with </w:t>
      </w:r>
      <w:proofErr w:type="spellStart"/>
      <w:r>
        <w:rPr>
          <w:rFonts w:ascii="Arial" w:eastAsia="Calibri" w:hAnsi="Arial" w:cs="Arial"/>
          <w:bCs/>
        </w:rPr>
        <w:t>qnew</w:t>
      </w:r>
      <w:proofErr w:type="spellEnd"/>
    </w:p>
    <w:p w14:paraId="42294C02" w14:textId="27D8DD62" w:rsidR="009325CB" w:rsidRPr="00D55683" w:rsidRDefault="009325CB" w:rsidP="00D55683">
      <w:pPr>
        <w:pStyle w:val="ListParagraph"/>
        <w:numPr>
          <w:ilvl w:val="1"/>
          <w:numId w:val="32"/>
        </w:numPr>
        <w:spacing w:line="276" w:lineRule="auto"/>
        <w:rPr>
          <w:rFonts w:eastAsia="Calibri" w:cs="Arial"/>
          <w:bCs/>
        </w:rPr>
      </w:pPr>
      <w:r>
        <w:rPr>
          <w:rFonts w:ascii="Arial" w:eastAsia="Calibri" w:hAnsi="Arial" w:cs="Arial"/>
          <w:bCs/>
        </w:rPr>
        <w:t xml:space="preserve">A UE has to transmit PUCCH with </w:t>
      </w:r>
      <w:proofErr w:type="spellStart"/>
      <w:r>
        <w:rPr>
          <w:rFonts w:ascii="Arial" w:eastAsia="Calibri" w:hAnsi="Arial" w:cs="Arial"/>
          <w:bCs/>
        </w:rPr>
        <w:t>qnew</w:t>
      </w:r>
      <w:proofErr w:type="spellEnd"/>
      <w:r>
        <w:rPr>
          <w:rFonts w:ascii="Arial" w:eastAsia="Calibri" w:hAnsi="Arial" w:cs="Arial"/>
          <w:bCs/>
        </w:rPr>
        <w:t xml:space="preserve"> beam</w:t>
      </w:r>
      <w:r w:rsidR="007C0FCE">
        <w:rPr>
          <w:rFonts w:ascii="Arial" w:eastAsia="Calibri" w:hAnsi="Arial" w:cs="Arial"/>
          <w:bCs/>
        </w:rPr>
        <w:t xml:space="preserve"> starting</w:t>
      </w:r>
      <w:r>
        <w:rPr>
          <w:rFonts w:ascii="Arial" w:eastAsia="Calibri" w:hAnsi="Arial" w:cs="Arial"/>
          <w:bCs/>
        </w:rPr>
        <w:t xml:space="preserve"> </w:t>
      </w:r>
      <w:r w:rsidR="007C0FCE">
        <w:rPr>
          <w:rFonts w:ascii="Arial" w:eastAsia="Calibri" w:hAnsi="Arial" w:cs="Arial"/>
          <w:bCs/>
        </w:rPr>
        <w:t xml:space="preserve">from </w:t>
      </w:r>
      <w:r>
        <w:rPr>
          <w:rFonts w:ascii="Arial" w:eastAsia="Calibri" w:hAnsi="Arial" w:cs="Arial"/>
          <w:bCs/>
        </w:rPr>
        <w:t xml:space="preserve">28 symbols later the UE received a first PDCCH in the BFR search space. As similar to the other channel, Koffset has to be added for the timing relationship to address the large TA value. Therefore, the beam application time for PUCCH transmission with </w:t>
      </w:r>
      <w:proofErr w:type="spellStart"/>
      <w:r>
        <w:rPr>
          <w:rFonts w:ascii="Arial" w:eastAsia="Calibri" w:hAnsi="Arial" w:cs="Arial"/>
          <w:bCs/>
        </w:rPr>
        <w:t>qnew</w:t>
      </w:r>
      <w:proofErr w:type="spellEnd"/>
      <w:r>
        <w:rPr>
          <w:rFonts w:ascii="Arial" w:eastAsia="Calibri" w:hAnsi="Arial" w:cs="Arial"/>
          <w:bCs/>
        </w:rPr>
        <w:t xml:space="preserve"> beam has to be 28symbols + Koffset.</w:t>
      </w:r>
    </w:p>
    <w:p w14:paraId="3CB1427A" w14:textId="3A1418C9" w:rsidR="0064330C" w:rsidRDefault="00986558" w:rsidP="00324B49">
      <w:pPr>
        <w:spacing w:line="276" w:lineRule="auto"/>
        <w:rPr>
          <w:rFonts w:eastAsia="Calibri" w:cs="Arial"/>
          <w:bCs/>
          <w:i/>
          <w:iCs/>
          <w:sz w:val="22"/>
          <w:szCs w:val="22"/>
        </w:rPr>
      </w:pPr>
      <w:r w:rsidRPr="00D55683">
        <w:rPr>
          <w:rFonts w:eastAsia="Calibri" w:cs="Arial"/>
          <w:b/>
          <w:i/>
          <w:iCs/>
          <w:sz w:val="22"/>
          <w:szCs w:val="22"/>
        </w:rPr>
        <w:t>Observation-2:</w:t>
      </w:r>
      <w:r>
        <w:rPr>
          <w:rFonts w:eastAsia="Calibri" w:cs="Arial"/>
          <w:bCs/>
          <w:i/>
          <w:iCs/>
          <w:sz w:val="22"/>
          <w:szCs w:val="22"/>
        </w:rPr>
        <w:t xml:space="preserve"> beam failure recovery in current specification doesn’t support NTN scenario with FRF&gt;1</w:t>
      </w:r>
      <w:r w:rsidR="007C0FCE">
        <w:rPr>
          <w:rFonts w:eastAsia="Calibri" w:cs="Arial"/>
          <w:bCs/>
          <w:i/>
          <w:iCs/>
          <w:sz w:val="22"/>
          <w:szCs w:val="22"/>
        </w:rPr>
        <w:t>.</w:t>
      </w:r>
    </w:p>
    <w:p w14:paraId="0D6CABC5" w14:textId="1513072A" w:rsidR="00986558" w:rsidRPr="00D55683" w:rsidRDefault="00986558" w:rsidP="00324B49">
      <w:pPr>
        <w:spacing w:line="276" w:lineRule="auto"/>
        <w:rPr>
          <w:rFonts w:eastAsia="Calibri" w:cs="Arial"/>
          <w:bCs/>
          <w:sz w:val="22"/>
          <w:szCs w:val="22"/>
        </w:rPr>
      </w:pPr>
      <w:r>
        <w:rPr>
          <w:rFonts w:eastAsia="Calibri" w:cs="Arial"/>
          <w:bCs/>
          <w:sz w:val="22"/>
          <w:szCs w:val="22"/>
        </w:rPr>
        <w:t xml:space="preserve">Based on the observations for </w:t>
      </w:r>
      <w:r w:rsidR="00FA7F3F">
        <w:rPr>
          <w:rFonts w:eastAsia="Calibri" w:cs="Arial"/>
          <w:bCs/>
          <w:sz w:val="22"/>
          <w:szCs w:val="22"/>
        </w:rPr>
        <w:t>beam failure cases</w:t>
      </w:r>
      <w:r>
        <w:rPr>
          <w:rFonts w:eastAsia="Calibri" w:cs="Arial"/>
          <w:bCs/>
          <w:sz w:val="22"/>
          <w:szCs w:val="22"/>
        </w:rPr>
        <w:t xml:space="preserve"> for NTN and the required standards efforts to make the BFR</w:t>
      </w:r>
      <w:r w:rsidR="00FA7F3F">
        <w:rPr>
          <w:rFonts w:eastAsia="Calibri" w:cs="Arial"/>
          <w:bCs/>
          <w:sz w:val="22"/>
          <w:szCs w:val="22"/>
        </w:rPr>
        <w:t xml:space="preserve"> work</w:t>
      </w:r>
      <w:r>
        <w:rPr>
          <w:rFonts w:eastAsia="Calibri" w:cs="Arial"/>
          <w:bCs/>
          <w:sz w:val="22"/>
          <w:szCs w:val="22"/>
        </w:rPr>
        <w:t xml:space="preserve"> for NTN, RAN1 has to make a careful decision whether BFR </w:t>
      </w:r>
      <w:r w:rsidR="00FA7F3F">
        <w:rPr>
          <w:rFonts w:eastAsia="Calibri" w:cs="Arial"/>
          <w:bCs/>
          <w:sz w:val="22"/>
          <w:szCs w:val="22"/>
        </w:rPr>
        <w:t>needs to</w:t>
      </w:r>
      <w:r>
        <w:rPr>
          <w:rFonts w:eastAsia="Calibri" w:cs="Arial"/>
          <w:bCs/>
          <w:sz w:val="22"/>
          <w:szCs w:val="22"/>
        </w:rPr>
        <w:t xml:space="preserve"> be supported and/or optimized</w:t>
      </w:r>
      <w:r w:rsidR="00FA7F3F">
        <w:rPr>
          <w:rFonts w:eastAsia="Calibri" w:cs="Arial"/>
          <w:bCs/>
          <w:sz w:val="22"/>
          <w:szCs w:val="22"/>
        </w:rPr>
        <w:t xml:space="preserve"> for</w:t>
      </w:r>
      <w:r>
        <w:rPr>
          <w:rFonts w:eastAsia="Calibri" w:cs="Arial"/>
          <w:bCs/>
          <w:sz w:val="22"/>
          <w:szCs w:val="22"/>
        </w:rPr>
        <w:t xml:space="preserve"> NTN deployment scenario.  </w:t>
      </w:r>
    </w:p>
    <w:p w14:paraId="10F6A16A" w14:textId="2984E6ED" w:rsidR="0001669D" w:rsidRPr="008F34C2" w:rsidRDefault="00FA7F3F" w:rsidP="00324B49">
      <w:pPr>
        <w:spacing w:line="276" w:lineRule="auto"/>
        <w:rPr>
          <w:rFonts w:eastAsia="Calibri" w:cs="Arial"/>
          <w:bCs/>
          <w:i/>
          <w:iCs/>
          <w:sz w:val="22"/>
          <w:szCs w:val="22"/>
        </w:rPr>
      </w:pPr>
      <w:r w:rsidRPr="00E050B1">
        <w:rPr>
          <w:rFonts w:eastAsia="Calibri"/>
          <w:b/>
          <w:i/>
          <w:iCs/>
          <w:sz w:val="22"/>
          <w:szCs w:val="22"/>
        </w:rPr>
        <w:t xml:space="preserve">Proposal </w:t>
      </w:r>
      <w:r>
        <w:rPr>
          <w:rFonts w:eastAsia="Calibri"/>
          <w:b/>
          <w:i/>
          <w:iCs/>
          <w:sz w:val="22"/>
          <w:szCs w:val="22"/>
        </w:rPr>
        <w:t>6</w:t>
      </w:r>
      <w:r w:rsidRPr="00E050B1">
        <w:rPr>
          <w:rFonts w:eastAsia="Calibri"/>
          <w:b/>
          <w:i/>
          <w:iCs/>
          <w:sz w:val="22"/>
          <w:szCs w:val="22"/>
        </w:rPr>
        <w:t>:</w:t>
      </w:r>
      <w:r w:rsidRPr="00E050B1">
        <w:rPr>
          <w:rFonts w:eastAsia="Calibri"/>
          <w:bCs/>
          <w:i/>
          <w:iCs/>
          <w:sz w:val="22"/>
          <w:szCs w:val="22"/>
        </w:rPr>
        <w:t xml:space="preserve"> </w:t>
      </w:r>
      <w:r>
        <w:rPr>
          <w:rFonts w:eastAsia="Calibri"/>
          <w:bCs/>
          <w:i/>
          <w:iCs/>
          <w:sz w:val="22"/>
          <w:szCs w:val="22"/>
        </w:rPr>
        <w:t xml:space="preserve">RAN1 discuss on </w:t>
      </w:r>
      <w:r w:rsidR="007C0FCE">
        <w:rPr>
          <w:rFonts w:eastAsia="Calibri"/>
          <w:bCs/>
          <w:i/>
          <w:iCs/>
          <w:sz w:val="22"/>
          <w:szCs w:val="22"/>
        </w:rPr>
        <w:t xml:space="preserve">the </w:t>
      </w:r>
      <w:r>
        <w:rPr>
          <w:rFonts w:eastAsia="Calibri"/>
          <w:bCs/>
          <w:i/>
          <w:iCs/>
          <w:sz w:val="22"/>
          <w:szCs w:val="22"/>
        </w:rPr>
        <w:t xml:space="preserve">necessity of BFR for NTN and required </w:t>
      </w:r>
      <w:r w:rsidR="007C0FCE">
        <w:rPr>
          <w:rFonts w:eastAsia="Calibri"/>
          <w:bCs/>
          <w:i/>
          <w:iCs/>
          <w:sz w:val="22"/>
          <w:szCs w:val="22"/>
        </w:rPr>
        <w:t>specification impacts</w:t>
      </w:r>
      <w:r>
        <w:rPr>
          <w:rFonts w:eastAsia="Calibri"/>
          <w:bCs/>
          <w:i/>
          <w:iCs/>
          <w:sz w:val="22"/>
          <w:szCs w:val="22"/>
        </w:rPr>
        <w:t xml:space="preserve"> to support BFR for NTN. </w:t>
      </w:r>
    </w:p>
    <w:p w14:paraId="0B6D7D6F" w14:textId="77777777" w:rsidR="00214E6A" w:rsidRPr="004A1A95" w:rsidRDefault="00214E6A" w:rsidP="00214E6A">
      <w:pPr>
        <w:pStyle w:val="Heading1"/>
      </w:pPr>
      <w:r w:rsidRPr="004A1A95">
        <w:t>Conclusion</w:t>
      </w:r>
    </w:p>
    <w:p w14:paraId="66F0DF76" w14:textId="7D0D70AD" w:rsidR="00E013C6" w:rsidRDefault="00214E6A" w:rsidP="00C6277A">
      <w:pPr>
        <w:tabs>
          <w:tab w:val="left" w:pos="0"/>
        </w:tabs>
        <w:rPr>
          <w:sz w:val="22"/>
        </w:rPr>
      </w:pPr>
      <w:r w:rsidRPr="000F21E9">
        <w:rPr>
          <w:sz w:val="22"/>
        </w:rPr>
        <w:t xml:space="preserve">In this contribution the following observations and proposals were made concerning </w:t>
      </w:r>
      <w:r w:rsidR="00827AF6">
        <w:rPr>
          <w:sz w:val="22"/>
        </w:rPr>
        <w:t>beam management</w:t>
      </w:r>
      <w:r w:rsidR="000D1CD0" w:rsidRPr="000F21E9">
        <w:rPr>
          <w:sz w:val="22"/>
        </w:rPr>
        <w:t xml:space="preserve"> in NTN:</w:t>
      </w:r>
    </w:p>
    <w:p w14:paraId="1A57EC62" w14:textId="77777777" w:rsidR="007C0FCE" w:rsidRPr="00221917" w:rsidRDefault="007C0FCE" w:rsidP="007C0FCE">
      <w:pPr>
        <w:spacing w:line="276" w:lineRule="auto"/>
        <w:rPr>
          <w:rFonts w:eastAsia="Calibri" w:cs="Arial"/>
          <w:bCs/>
          <w:i/>
          <w:iCs/>
          <w:sz w:val="22"/>
          <w:szCs w:val="22"/>
        </w:rPr>
      </w:pPr>
      <w:r w:rsidRPr="00221917">
        <w:rPr>
          <w:rFonts w:eastAsia="Calibri" w:cs="Arial"/>
          <w:b/>
          <w:i/>
          <w:iCs/>
          <w:sz w:val="22"/>
          <w:szCs w:val="22"/>
        </w:rPr>
        <w:t xml:space="preserve">Observation-1: </w:t>
      </w:r>
      <w:r w:rsidRPr="00221917">
        <w:rPr>
          <w:rFonts w:eastAsia="Calibri" w:cs="Arial"/>
          <w:bCs/>
          <w:i/>
          <w:iCs/>
          <w:sz w:val="22"/>
          <w:szCs w:val="22"/>
        </w:rPr>
        <w:t>the beam failure scenarios assumed in TN are no longer valid in NTN deployment.</w:t>
      </w:r>
    </w:p>
    <w:p w14:paraId="2F63F8C3" w14:textId="77777777" w:rsidR="007C0FCE" w:rsidRDefault="007C0FCE" w:rsidP="007C0FCE">
      <w:pPr>
        <w:spacing w:line="276" w:lineRule="auto"/>
        <w:rPr>
          <w:rFonts w:eastAsia="Calibri" w:cs="Arial"/>
          <w:bCs/>
          <w:i/>
          <w:iCs/>
          <w:sz w:val="22"/>
          <w:szCs w:val="22"/>
        </w:rPr>
      </w:pPr>
      <w:r w:rsidRPr="00221917">
        <w:rPr>
          <w:rFonts w:eastAsia="Calibri" w:cs="Arial"/>
          <w:b/>
          <w:i/>
          <w:iCs/>
          <w:sz w:val="22"/>
          <w:szCs w:val="22"/>
        </w:rPr>
        <w:t>Observation-2:</w:t>
      </w:r>
      <w:r>
        <w:rPr>
          <w:rFonts w:eastAsia="Calibri" w:cs="Arial"/>
          <w:bCs/>
          <w:i/>
          <w:iCs/>
          <w:sz w:val="22"/>
          <w:szCs w:val="22"/>
        </w:rPr>
        <w:t xml:space="preserve"> beam failure recovery in current specification doesn’t support NTN scenario with FRF&gt;1.</w:t>
      </w:r>
    </w:p>
    <w:p w14:paraId="07A89111" w14:textId="68D1E229" w:rsidR="007C0FCE" w:rsidRDefault="007C0FCE" w:rsidP="00C6277A">
      <w:pPr>
        <w:tabs>
          <w:tab w:val="left" w:pos="0"/>
        </w:tabs>
        <w:rPr>
          <w:sz w:val="22"/>
        </w:rPr>
      </w:pPr>
    </w:p>
    <w:p w14:paraId="2375BE4E" w14:textId="4579913D" w:rsidR="007C0FCE" w:rsidRPr="007C4E5D" w:rsidRDefault="007C0FCE" w:rsidP="007C0FCE">
      <w:pPr>
        <w:spacing w:line="276" w:lineRule="auto"/>
        <w:rPr>
          <w:rFonts w:eastAsia="Calibri" w:cs="Arial"/>
          <w:bCs/>
          <w:i/>
          <w:iCs/>
          <w:sz w:val="22"/>
          <w:szCs w:val="22"/>
        </w:rPr>
      </w:pPr>
      <w:r w:rsidRPr="007C4E5D">
        <w:rPr>
          <w:rFonts w:eastAsia="Calibri" w:cs="Arial"/>
          <w:b/>
          <w:i/>
          <w:iCs/>
          <w:sz w:val="22"/>
          <w:szCs w:val="22"/>
        </w:rPr>
        <w:t xml:space="preserve">Proposal </w:t>
      </w:r>
      <w:r>
        <w:rPr>
          <w:rFonts w:eastAsia="Calibri" w:cs="Arial"/>
          <w:b/>
          <w:i/>
          <w:iCs/>
          <w:sz w:val="22"/>
          <w:szCs w:val="22"/>
        </w:rPr>
        <w:t>1</w:t>
      </w:r>
      <w:r w:rsidRPr="007C4E5D">
        <w:rPr>
          <w:rFonts w:eastAsia="Calibri" w:cs="Arial"/>
          <w:b/>
          <w:i/>
          <w:iCs/>
          <w:sz w:val="22"/>
          <w:szCs w:val="22"/>
        </w:rPr>
        <w:t>:</w:t>
      </w:r>
      <w:r w:rsidRPr="007C4E5D">
        <w:rPr>
          <w:rFonts w:eastAsia="Calibri" w:cs="Arial"/>
          <w:bCs/>
          <w:i/>
          <w:iCs/>
          <w:sz w:val="22"/>
          <w:szCs w:val="22"/>
        </w:rPr>
        <w:t xml:space="preserve"> </w:t>
      </w:r>
      <w:r>
        <w:rPr>
          <w:rFonts w:eastAsia="Calibri" w:cs="Arial"/>
          <w:bCs/>
          <w:i/>
          <w:iCs/>
          <w:sz w:val="22"/>
          <w:szCs w:val="22"/>
        </w:rPr>
        <w:t>no beam switching enhancement (e.g., a sequence of beam configuration) is supported for NTN in Rel-17.</w:t>
      </w:r>
    </w:p>
    <w:p w14:paraId="42FC0F08" w14:textId="03CF1F9E" w:rsidR="007C0FCE" w:rsidRDefault="007C0FCE" w:rsidP="007C0FCE">
      <w:pPr>
        <w:spacing w:line="276" w:lineRule="auto"/>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2</w:t>
      </w:r>
      <w:r w:rsidRPr="00E050B1">
        <w:rPr>
          <w:rFonts w:eastAsia="Calibri" w:cs="Arial"/>
          <w:b/>
          <w:i/>
          <w:iCs/>
          <w:sz w:val="22"/>
          <w:szCs w:val="22"/>
        </w:rPr>
        <w:t>:</w:t>
      </w:r>
      <w:r w:rsidRPr="00E050B1">
        <w:rPr>
          <w:rFonts w:eastAsia="Calibri" w:cs="Arial"/>
          <w:bCs/>
          <w:i/>
          <w:iCs/>
          <w:sz w:val="22"/>
          <w:szCs w:val="22"/>
        </w:rPr>
        <w:t xml:space="preserve"> </w:t>
      </w:r>
      <w:r>
        <w:rPr>
          <w:rFonts w:eastAsia="Calibri" w:cs="Arial"/>
          <w:bCs/>
          <w:i/>
          <w:iCs/>
          <w:sz w:val="22"/>
          <w:szCs w:val="22"/>
        </w:rPr>
        <w:t xml:space="preserve"> no group common BWP/beam switching indication is supported for NTN in Rel-17.</w:t>
      </w:r>
    </w:p>
    <w:p w14:paraId="0ADC6B62" w14:textId="77777777" w:rsidR="006A3AA8" w:rsidRDefault="006A3AA8" w:rsidP="006A3AA8">
      <w:pPr>
        <w:spacing w:line="276" w:lineRule="auto"/>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3</w:t>
      </w:r>
      <w:r w:rsidRPr="00E050B1">
        <w:rPr>
          <w:rFonts w:eastAsia="Calibri" w:cs="Arial"/>
          <w:b/>
          <w:i/>
          <w:iCs/>
          <w:sz w:val="22"/>
          <w:szCs w:val="22"/>
        </w:rPr>
        <w:t>:</w:t>
      </w:r>
      <w:r w:rsidRPr="00E050B1">
        <w:rPr>
          <w:rFonts w:eastAsia="Calibri" w:cs="Arial"/>
          <w:bCs/>
          <w:i/>
          <w:iCs/>
          <w:sz w:val="22"/>
          <w:szCs w:val="22"/>
        </w:rPr>
        <w:t xml:space="preserve"> </w:t>
      </w:r>
      <w:r>
        <w:rPr>
          <w:rFonts w:eastAsia="Calibri" w:cs="Arial"/>
          <w:bCs/>
          <w:i/>
          <w:iCs/>
          <w:sz w:val="22"/>
          <w:szCs w:val="22"/>
        </w:rPr>
        <w:t xml:space="preserve"> support beam measurements in inactive BWPs in the case of FRF&gt;1 for seamless beam transition.</w:t>
      </w:r>
    </w:p>
    <w:p w14:paraId="51224995" w14:textId="77777777" w:rsidR="007C0FCE" w:rsidRDefault="007C0FCE" w:rsidP="007C0FCE">
      <w:pPr>
        <w:spacing w:line="276" w:lineRule="auto"/>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4</w:t>
      </w:r>
      <w:r w:rsidRPr="00E050B1">
        <w:rPr>
          <w:rFonts w:eastAsia="Calibri" w:cs="Arial"/>
          <w:b/>
          <w:i/>
          <w:iCs/>
          <w:sz w:val="22"/>
          <w:szCs w:val="22"/>
        </w:rPr>
        <w:t>:</w:t>
      </w:r>
      <w:r w:rsidRPr="00E050B1">
        <w:rPr>
          <w:rFonts w:eastAsia="Calibri" w:cs="Arial"/>
          <w:bCs/>
          <w:i/>
          <w:iCs/>
          <w:sz w:val="22"/>
          <w:szCs w:val="22"/>
        </w:rPr>
        <w:t xml:space="preserve"> </w:t>
      </w:r>
      <w:r>
        <w:rPr>
          <w:rFonts w:eastAsia="Calibri" w:cs="Arial"/>
          <w:bCs/>
          <w:i/>
          <w:iCs/>
          <w:sz w:val="22"/>
          <w:szCs w:val="22"/>
        </w:rPr>
        <w:t xml:space="preserve"> a measurement gap can be used for a UE to measure beam quality in inactive BWPs.</w:t>
      </w:r>
    </w:p>
    <w:p w14:paraId="2A3B487C" w14:textId="54DA8E0F" w:rsidR="007C0FCE" w:rsidRDefault="007C0FCE" w:rsidP="007C0FCE">
      <w:pPr>
        <w:spacing w:line="276" w:lineRule="auto"/>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5</w:t>
      </w:r>
      <w:r w:rsidRPr="00E050B1">
        <w:rPr>
          <w:rFonts w:eastAsia="Calibri" w:cs="Arial"/>
          <w:b/>
          <w:i/>
          <w:iCs/>
          <w:sz w:val="22"/>
          <w:szCs w:val="22"/>
        </w:rPr>
        <w:t>:</w:t>
      </w:r>
      <w:r w:rsidRPr="00E050B1">
        <w:rPr>
          <w:rFonts w:eastAsia="Calibri" w:cs="Arial"/>
          <w:bCs/>
          <w:i/>
          <w:iCs/>
          <w:sz w:val="22"/>
          <w:szCs w:val="22"/>
        </w:rPr>
        <w:t xml:space="preserve"> </w:t>
      </w:r>
      <w:r w:rsidR="006A3AA8">
        <w:rPr>
          <w:rFonts w:eastAsia="Calibri" w:cs="Arial"/>
          <w:bCs/>
          <w:i/>
          <w:iCs/>
          <w:sz w:val="22"/>
          <w:szCs w:val="22"/>
        </w:rPr>
        <w:t xml:space="preserve"> </w:t>
      </w:r>
      <w:r>
        <w:rPr>
          <w:rFonts w:eastAsia="Calibri" w:cs="Arial"/>
          <w:bCs/>
          <w:i/>
          <w:iCs/>
          <w:sz w:val="22"/>
          <w:szCs w:val="22"/>
        </w:rPr>
        <w:t>an event-driven beam measurement outside active BWP can be considered to minimize the performance impact from frequent beam measurement outside active BWP.</w:t>
      </w:r>
    </w:p>
    <w:p w14:paraId="56DE2672" w14:textId="4FE1345D" w:rsidR="007C0FCE" w:rsidRDefault="007C0FCE" w:rsidP="00C6277A">
      <w:pPr>
        <w:tabs>
          <w:tab w:val="left" w:pos="0"/>
        </w:tabs>
        <w:rPr>
          <w:rFonts w:eastAsia="Calibri" w:cs="Arial"/>
          <w:bCs/>
          <w:i/>
          <w:iCs/>
          <w:sz w:val="22"/>
          <w:szCs w:val="22"/>
        </w:rPr>
      </w:pPr>
      <w:r w:rsidRPr="00E050B1">
        <w:rPr>
          <w:rFonts w:eastAsia="Calibri" w:cs="Arial"/>
          <w:b/>
          <w:i/>
          <w:iCs/>
          <w:sz w:val="22"/>
          <w:szCs w:val="22"/>
        </w:rPr>
        <w:t xml:space="preserve">Proposal </w:t>
      </w:r>
      <w:r>
        <w:rPr>
          <w:rFonts w:eastAsia="Calibri" w:cs="Arial"/>
          <w:b/>
          <w:i/>
          <w:iCs/>
          <w:sz w:val="22"/>
          <w:szCs w:val="22"/>
        </w:rPr>
        <w:t>6</w:t>
      </w:r>
      <w:r w:rsidRPr="00E050B1">
        <w:rPr>
          <w:rFonts w:eastAsia="Calibri" w:cs="Arial"/>
          <w:b/>
          <w:i/>
          <w:iCs/>
          <w:sz w:val="22"/>
          <w:szCs w:val="22"/>
        </w:rPr>
        <w:t>:</w:t>
      </w:r>
      <w:r w:rsidRPr="00E050B1">
        <w:rPr>
          <w:rFonts w:eastAsia="Calibri" w:cs="Arial"/>
          <w:bCs/>
          <w:i/>
          <w:iCs/>
          <w:sz w:val="22"/>
          <w:szCs w:val="22"/>
        </w:rPr>
        <w:t xml:space="preserve"> </w:t>
      </w:r>
      <w:r>
        <w:rPr>
          <w:rFonts w:eastAsia="Calibri" w:cs="Arial"/>
          <w:bCs/>
          <w:i/>
          <w:iCs/>
          <w:sz w:val="22"/>
          <w:szCs w:val="22"/>
        </w:rPr>
        <w:t>RAN1 discuss on the necessity of BFR for NTN and required specification impacts to support BFR for NTN.</w:t>
      </w:r>
    </w:p>
    <w:p w14:paraId="0DA2B8A4" w14:textId="77777777" w:rsidR="007C0FCE" w:rsidRPr="000F21E9" w:rsidRDefault="007C0FCE" w:rsidP="00C6277A">
      <w:pPr>
        <w:tabs>
          <w:tab w:val="left" w:pos="0"/>
        </w:tabs>
        <w:rPr>
          <w:sz w:val="22"/>
        </w:rPr>
      </w:pPr>
    </w:p>
    <w:p w14:paraId="377E0382" w14:textId="77777777" w:rsidR="00214E6A" w:rsidRPr="004A1A95" w:rsidRDefault="00214E6A" w:rsidP="00214E6A">
      <w:pPr>
        <w:pStyle w:val="Heading1"/>
      </w:pPr>
      <w:r w:rsidRPr="004A1A95">
        <w:lastRenderedPageBreak/>
        <w:t>References</w:t>
      </w:r>
    </w:p>
    <w:p w14:paraId="7AC78877" w14:textId="75601188" w:rsidR="00F961D5" w:rsidRDefault="00F961D5" w:rsidP="001802C8">
      <w:pPr>
        <w:pStyle w:val="ListParagraph"/>
        <w:numPr>
          <w:ilvl w:val="0"/>
          <w:numId w:val="15"/>
        </w:numPr>
        <w:spacing w:before="120"/>
        <w:jc w:val="both"/>
        <w:rPr>
          <w:rFonts w:ascii="Arial" w:hAnsi="Arial" w:cs="Arial"/>
        </w:rPr>
      </w:pPr>
      <w:bookmarkStart w:id="1" w:name="_Ref521518965"/>
      <w:r>
        <w:rPr>
          <w:rFonts w:ascii="Arial" w:hAnsi="Arial" w:cs="Arial"/>
        </w:rPr>
        <w:t>RAN1 #106-e chairman’s note</w:t>
      </w:r>
    </w:p>
    <w:p w14:paraId="2265B772" w14:textId="397232B1" w:rsidR="00697E1B" w:rsidRPr="001802C8" w:rsidRDefault="00E60A1B" w:rsidP="001802C8">
      <w:pPr>
        <w:pStyle w:val="ListParagraph"/>
        <w:numPr>
          <w:ilvl w:val="0"/>
          <w:numId w:val="15"/>
        </w:numPr>
        <w:spacing w:before="120"/>
        <w:jc w:val="both"/>
        <w:rPr>
          <w:rFonts w:ascii="Arial" w:hAnsi="Arial" w:cs="Arial"/>
        </w:rPr>
      </w:pPr>
      <w:r w:rsidRPr="008924A3">
        <w:rPr>
          <w:rFonts w:ascii="Arial" w:hAnsi="Arial" w:cs="Arial"/>
        </w:rPr>
        <w:t>RP-</w:t>
      </w:r>
      <w:r w:rsidR="00F961D5">
        <w:rPr>
          <w:rFonts w:ascii="Arial" w:hAnsi="Arial" w:cs="Arial"/>
        </w:rPr>
        <w:t>2108517</w:t>
      </w:r>
      <w:r w:rsidRPr="008924A3">
        <w:rPr>
          <w:rFonts w:ascii="Arial" w:hAnsi="Arial" w:cs="Arial"/>
        </w:rPr>
        <w:t>, “</w:t>
      </w:r>
      <w:r w:rsidR="00F961D5">
        <w:rPr>
          <w:rFonts w:ascii="Arial" w:hAnsi="Arial" w:cs="Arial"/>
        </w:rPr>
        <w:t>Summary#2 of 8.4.4 Other Aspects of NR-NTN</w:t>
      </w:r>
      <w:r w:rsidRPr="008924A3">
        <w:rPr>
          <w:rFonts w:ascii="Arial" w:hAnsi="Arial" w:cs="Arial"/>
        </w:rPr>
        <w:t xml:space="preserve">”, </w:t>
      </w:r>
      <w:bookmarkEnd w:id="1"/>
      <w:r w:rsidR="001802C8">
        <w:rPr>
          <w:rFonts w:ascii="Arial" w:hAnsi="Arial" w:cs="Arial"/>
        </w:rPr>
        <w:t>Moderator (Oppo)</w:t>
      </w:r>
    </w:p>
    <w:sectPr w:rsidR="00697E1B" w:rsidRPr="001802C8">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58868" w14:textId="77777777" w:rsidR="0078091F" w:rsidRDefault="0078091F">
      <w:pPr>
        <w:spacing w:after="0"/>
      </w:pPr>
      <w:r>
        <w:separator/>
      </w:r>
    </w:p>
  </w:endnote>
  <w:endnote w:type="continuationSeparator" w:id="0">
    <w:p w14:paraId="1C450F1F" w14:textId="77777777" w:rsidR="0078091F" w:rsidRDefault="007809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CB642D" w:rsidRDefault="00214E6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B3428" w14:textId="77777777" w:rsidR="0078091F" w:rsidRDefault="0078091F">
      <w:pPr>
        <w:spacing w:after="0"/>
      </w:pPr>
      <w:r>
        <w:separator/>
      </w:r>
    </w:p>
  </w:footnote>
  <w:footnote w:type="continuationSeparator" w:id="0">
    <w:p w14:paraId="2A84B01D" w14:textId="77777777" w:rsidR="0078091F" w:rsidRDefault="007809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1"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D26A44"/>
    <w:multiLevelType w:val="hybridMultilevel"/>
    <w:tmpl w:val="FF3A1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C03647"/>
    <w:multiLevelType w:val="hybridMultilevel"/>
    <w:tmpl w:val="EA961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E2616D"/>
    <w:multiLevelType w:val="hybridMultilevel"/>
    <w:tmpl w:val="DC4E1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B4A4163"/>
    <w:multiLevelType w:val="hybridMultilevel"/>
    <w:tmpl w:val="4CE20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7C520A9"/>
    <w:multiLevelType w:val="hybridMultilevel"/>
    <w:tmpl w:val="45FE98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6C5A6B"/>
    <w:multiLevelType w:val="hybridMultilevel"/>
    <w:tmpl w:val="1F0EC900"/>
    <w:lvl w:ilvl="0" w:tplc="04090001">
      <w:start w:val="1"/>
      <w:numFmt w:val="bullet"/>
      <w:lvlText w:val=""/>
      <w:lvlJc w:val="left"/>
      <w:pPr>
        <w:ind w:left="779" w:hanging="360"/>
      </w:pPr>
      <w:rPr>
        <w:rFonts w:ascii="Symbol" w:hAnsi="Symbol" w:hint="default"/>
      </w:rPr>
    </w:lvl>
    <w:lvl w:ilvl="1" w:tplc="04090003">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7"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num>
  <w:num w:numId="2">
    <w:abstractNumId w:val="16"/>
  </w:num>
  <w:num w:numId="3">
    <w:abstractNumId w:val="18"/>
  </w:num>
  <w:num w:numId="4">
    <w:abstractNumId w:val="27"/>
  </w:num>
  <w:num w:numId="5">
    <w:abstractNumId w:val="8"/>
  </w:num>
  <w:num w:numId="6">
    <w:abstractNumId w:val="24"/>
  </w:num>
  <w:num w:numId="7">
    <w:abstractNumId w:val="19"/>
  </w:num>
  <w:num w:numId="8">
    <w:abstractNumId w:val="0"/>
  </w:num>
  <w:num w:numId="9">
    <w:abstractNumId w:val="22"/>
  </w:num>
  <w:num w:numId="10">
    <w:abstractNumId w:val="23"/>
  </w:num>
  <w:num w:numId="11">
    <w:abstractNumId w:val="14"/>
  </w:num>
  <w:num w:numId="12">
    <w:abstractNumId w:val="6"/>
  </w:num>
  <w:num w:numId="13">
    <w:abstractNumId w:val="10"/>
  </w:num>
  <w:num w:numId="14">
    <w:abstractNumId w:val="4"/>
  </w:num>
  <w:num w:numId="15">
    <w:abstractNumId w:val="11"/>
  </w:num>
  <w:num w:numId="16">
    <w:abstractNumId w:val="17"/>
  </w:num>
  <w:num w:numId="17">
    <w:abstractNumId w:val="3"/>
  </w:num>
  <w:num w:numId="18">
    <w:abstractNumId w:val="12"/>
  </w:num>
  <w:num w:numId="19">
    <w:abstractNumId w:val="21"/>
  </w:num>
  <w:num w:numId="20">
    <w:abstractNumId w:val="13"/>
  </w:num>
  <w:num w:numId="21">
    <w:abstractNumId w:val="20"/>
  </w:num>
  <w:num w:numId="22">
    <w:abstractNumId w:val="2"/>
  </w:num>
  <w:num w:numId="23">
    <w:abstractNumId w:val="25"/>
  </w:num>
  <w:num w:numId="24">
    <w:abstractNumId w:val="7"/>
  </w:num>
  <w:num w:numId="25">
    <w:abstractNumId w:val="5"/>
  </w:num>
  <w:num w:numId="26">
    <w:abstractNumId w:val="9"/>
  </w:num>
  <w:num w:numId="27">
    <w:abstractNumId w:val="15"/>
  </w:num>
  <w:num w:numId="28">
    <w:abstractNumId w:val="1"/>
  </w:num>
  <w:num w:numId="29">
    <w:abstractNumId w:val="1"/>
  </w:num>
  <w:num w:numId="30">
    <w:abstractNumId w:val="1"/>
  </w:num>
  <w:num w:numId="31">
    <w:abstractNumId w:val="1"/>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1445"/>
    <w:rsid w:val="00012284"/>
    <w:rsid w:val="00013648"/>
    <w:rsid w:val="0001669D"/>
    <w:rsid w:val="000600DC"/>
    <w:rsid w:val="00061F39"/>
    <w:rsid w:val="00064052"/>
    <w:rsid w:val="000674C7"/>
    <w:rsid w:val="0008793C"/>
    <w:rsid w:val="00087E45"/>
    <w:rsid w:val="00090FD9"/>
    <w:rsid w:val="00091494"/>
    <w:rsid w:val="000A1519"/>
    <w:rsid w:val="000B3CE8"/>
    <w:rsid w:val="000B3F22"/>
    <w:rsid w:val="000B4290"/>
    <w:rsid w:val="000B6BB1"/>
    <w:rsid w:val="000C18C9"/>
    <w:rsid w:val="000D1CD0"/>
    <w:rsid w:val="000F21E9"/>
    <w:rsid w:val="00142DE2"/>
    <w:rsid w:val="00143787"/>
    <w:rsid w:val="00166C9B"/>
    <w:rsid w:val="001802C8"/>
    <w:rsid w:val="001965BA"/>
    <w:rsid w:val="001A3F2D"/>
    <w:rsid w:val="001B4722"/>
    <w:rsid w:val="001C59D8"/>
    <w:rsid w:val="00214E6A"/>
    <w:rsid w:val="00225F54"/>
    <w:rsid w:val="002471D9"/>
    <w:rsid w:val="0024763F"/>
    <w:rsid w:val="0025073D"/>
    <w:rsid w:val="002676F9"/>
    <w:rsid w:val="00281912"/>
    <w:rsid w:val="00283DB7"/>
    <w:rsid w:val="002A067C"/>
    <w:rsid w:val="002B026A"/>
    <w:rsid w:val="002C4C84"/>
    <w:rsid w:val="002C7497"/>
    <w:rsid w:val="002D3C8A"/>
    <w:rsid w:val="002F165E"/>
    <w:rsid w:val="002F3704"/>
    <w:rsid w:val="002F7E3F"/>
    <w:rsid w:val="00303C9C"/>
    <w:rsid w:val="003070E8"/>
    <w:rsid w:val="003240E9"/>
    <w:rsid w:val="00324B49"/>
    <w:rsid w:val="00330B3E"/>
    <w:rsid w:val="00335629"/>
    <w:rsid w:val="003456EF"/>
    <w:rsid w:val="00347139"/>
    <w:rsid w:val="00347F72"/>
    <w:rsid w:val="00383D4F"/>
    <w:rsid w:val="0039750E"/>
    <w:rsid w:val="003A2C98"/>
    <w:rsid w:val="003C1923"/>
    <w:rsid w:val="003D2B16"/>
    <w:rsid w:val="003F1681"/>
    <w:rsid w:val="004040A2"/>
    <w:rsid w:val="00404C76"/>
    <w:rsid w:val="00433DA1"/>
    <w:rsid w:val="00435BAC"/>
    <w:rsid w:val="00440C2E"/>
    <w:rsid w:val="004504CB"/>
    <w:rsid w:val="00451891"/>
    <w:rsid w:val="004573F9"/>
    <w:rsid w:val="00461D37"/>
    <w:rsid w:val="004738A5"/>
    <w:rsid w:val="004A0764"/>
    <w:rsid w:val="004C42B2"/>
    <w:rsid w:val="004E08DF"/>
    <w:rsid w:val="004E32A3"/>
    <w:rsid w:val="00511D70"/>
    <w:rsid w:val="005155EB"/>
    <w:rsid w:val="00526FD1"/>
    <w:rsid w:val="00534B3E"/>
    <w:rsid w:val="005546C1"/>
    <w:rsid w:val="005722BA"/>
    <w:rsid w:val="00572EDB"/>
    <w:rsid w:val="005817E8"/>
    <w:rsid w:val="0058637E"/>
    <w:rsid w:val="005C1BAB"/>
    <w:rsid w:val="005F2F59"/>
    <w:rsid w:val="005F4760"/>
    <w:rsid w:val="0061085E"/>
    <w:rsid w:val="00626355"/>
    <w:rsid w:val="006319F9"/>
    <w:rsid w:val="0063295F"/>
    <w:rsid w:val="00642F4B"/>
    <w:rsid w:val="0064330C"/>
    <w:rsid w:val="00695E9D"/>
    <w:rsid w:val="00697E1B"/>
    <w:rsid w:val="006A0172"/>
    <w:rsid w:val="006A3AA8"/>
    <w:rsid w:val="006B1ECA"/>
    <w:rsid w:val="006F02C5"/>
    <w:rsid w:val="0070274C"/>
    <w:rsid w:val="0070783F"/>
    <w:rsid w:val="00710564"/>
    <w:rsid w:val="00721025"/>
    <w:rsid w:val="007607D1"/>
    <w:rsid w:val="00774669"/>
    <w:rsid w:val="0078091F"/>
    <w:rsid w:val="00782864"/>
    <w:rsid w:val="00791C04"/>
    <w:rsid w:val="007B4EAD"/>
    <w:rsid w:val="007C0E22"/>
    <w:rsid w:val="007C0FCE"/>
    <w:rsid w:val="007C4E5D"/>
    <w:rsid w:val="007F08C6"/>
    <w:rsid w:val="007F30FF"/>
    <w:rsid w:val="008167F5"/>
    <w:rsid w:val="008237B8"/>
    <w:rsid w:val="00827AF6"/>
    <w:rsid w:val="0083388D"/>
    <w:rsid w:val="00835768"/>
    <w:rsid w:val="00845030"/>
    <w:rsid w:val="00876D3B"/>
    <w:rsid w:val="00894412"/>
    <w:rsid w:val="008955AA"/>
    <w:rsid w:val="008C0C61"/>
    <w:rsid w:val="008D0006"/>
    <w:rsid w:val="008F34C2"/>
    <w:rsid w:val="008F5A4A"/>
    <w:rsid w:val="00906039"/>
    <w:rsid w:val="009303A9"/>
    <w:rsid w:val="009325CB"/>
    <w:rsid w:val="009339C3"/>
    <w:rsid w:val="00960733"/>
    <w:rsid w:val="00977C46"/>
    <w:rsid w:val="00986558"/>
    <w:rsid w:val="009C4052"/>
    <w:rsid w:val="009F6550"/>
    <w:rsid w:val="00A0529A"/>
    <w:rsid w:val="00A24FC0"/>
    <w:rsid w:val="00A56D4B"/>
    <w:rsid w:val="00A725F4"/>
    <w:rsid w:val="00A95BF6"/>
    <w:rsid w:val="00AB3F44"/>
    <w:rsid w:val="00AB5C41"/>
    <w:rsid w:val="00AC0FB7"/>
    <w:rsid w:val="00AC1B18"/>
    <w:rsid w:val="00AC211F"/>
    <w:rsid w:val="00AC76A8"/>
    <w:rsid w:val="00AD7E3B"/>
    <w:rsid w:val="00AF2AFB"/>
    <w:rsid w:val="00B00581"/>
    <w:rsid w:val="00B03C97"/>
    <w:rsid w:val="00B414B8"/>
    <w:rsid w:val="00B642AA"/>
    <w:rsid w:val="00B652F5"/>
    <w:rsid w:val="00B854AD"/>
    <w:rsid w:val="00BD1ADF"/>
    <w:rsid w:val="00BD435D"/>
    <w:rsid w:val="00BE3ABB"/>
    <w:rsid w:val="00BE5E9F"/>
    <w:rsid w:val="00BE6342"/>
    <w:rsid w:val="00C45318"/>
    <w:rsid w:val="00C5021B"/>
    <w:rsid w:val="00C53F50"/>
    <w:rsid w:val="00C6277A"/>
    <w:rsid w:val="00CA5205"/>
    <w:rsid w:val="00CB738A"/>
    <w:rsid w:val="00CC6386"/>
    <w:rsid w:val="00CD05AE"/>
    <w:rsid w:val="00CD1545"/>
    <w:rsid w:val="00CD556B"/>
    <w:rsid w:val="00D37768"/>
    <w:rsid w:val="00D52628"/>
    <w:rsid w:val="00D55683"/>
    <w:rsid w:val="00D56247"/>
    <w:rsid w:val="00D62C03"/>
    <w:rsid w:val="00D91E82"/>
    <w:rsid w:val="00D9246C"/>
    <w:rsid w:val="00DA1030"/>
    <w:rsid w:val="00DB5942"/>
    <w:rsid w:val="00DC27C8"/>
    <w:rsid w:val="00DC53C9"/>
    <w:rsid w:val="00E013C6"/>
    <w:rsid w:val="00E20F98"/>
    <w:rsid w:val="00E225AC"/>
    <w:rsid w:val="00E23AC6"/>
    <w:rsid w:val="00E30291"/>
    <w:rsid w:val="00E32783"/>
    <w:rsid w:val="00E34132"/>
    <w:rsid w:val="00E36AD3"/>
    <w:rsid w:val="00E50B7C"/>
    <w:rsid w:val="00E5386D"/>
    <w:rsid w:val="00E60A1B"/>
    <w:rsid w:val="00E633F1"/>
    <w:rsid w:val="00E71553"/>
    <w:rsid w:val="00E7243F"/>
    <w:rsid w:val="00E74749"/>
    <w:rsid w:val="00E9634D"/>
    <w:rsid w:val="00EB5786"/>
    <w:rsid w:val="00EB6B0E"/>
    <w:rsid w:val="00EC198E"/>
    <w:rsid w:val="00EC61DF"/>
    <w:rsid w:val="00ED3E53"/>
    <w:rsid w:val="00ED5307"/>
    <w:rsid w:val="00EF6B55"/>
    <w:rsid w:val="00F00A92"/>
    <w:rsid w:val="00F961D5"/>
    <w:rsid w:val="00FA29D0"/>
    <w:rsid w:val="00FA7F3F"/>
    <w:rsid w:val="00FB72FB"/>
    <w:rsid w:val="00FD7468"/>
    <w:rsid w:val="00FE04E4"/>
    <w:rsid w:val="00FF5766"/>
    <w:rsid w:val="354CD241"/>
    <w:rsid w:val="76DC37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styleId="BalloonText">
    <w:name w:val="Balloon Text"/>
    <w:basedOn w:val="Normal"/>
    <w:link w:val="BalloonTextChar"/>
    <w:uiPriority w:val="99"/>
    <w:semiHidden/>
    <w:unhideWhenUsed/>
    <w:rsid w:val="00D91E82"/>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D91E82"/>
    <w:rPr>
      <w:rFonts w:ascii="Times New Roman" w:eastAsia="Times New Roman" w:hAnsi="Times New Roman" w:cs="Times New Roman"/>
      <w:sz w:val="18"/>
      <w:szCs w:val="18"/>
      <w:lang w:val="en-GB" w:eastAsia="zh-CN"/>
    </w:rPr>
  </w:style>
  <w:style w:type="character" w:styleId="CommentReference">
    <w:name w:val="annotation reference"/>
    <w:basedOn w:val="DefaultParagraphFont"/>
    <w:uiPriority w:val="99"/>
    <w:semiHidden/>
    <w:unhideWhenUsed/>
    <w:rsid w:val="00EF6B55"/>
    <w:rPr>
      <w:sz w:val="16"/>
      <w:szCs w:val="16"/>
    </w:rPr>
  </w:style>
  <w:style w:type="paragraph" w:styleId="CommentText">
    <w:name w:val="annotation text"/>
    <w:basedOn w:val="Normal"/>
    <w:link w:val="CommentTextChar"/>
    <w:uiPriority w:val="99"/>
    <w:unhideWhenUsed/>
    <w:rsid w:val="00EF6B55"/>
  </w:style>
  <w:style w:type="character" w:customStyle="1" w:styleId="CommentTextChar">
    <w:name w:val="Comment Text Char"/>
    <w:basedOn w:val="DefaultParagraphFont"/>
    <w:link w:val="CommentText"/>
    <w:uiPriority w:val="99"/>
    <w:rsid w:val="00EF6B55"/>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EF6B55"/>
    <w:rPr>
      <w:b/>
      <w:bCs/>
    </w:rPr>
  </w:style>
  <w:style w:type="character" w:customStyle="1" w:styleId="CommentSubjectChar">
    <w:name w:val="Comment Subject Char"/>
    <w:basedOn w:val="CommentTextChar"/>
    <w:link w:val="CommentSubject"/>
    <w:uiPriority w:val="99"/>
    <w:semiHidden/>
    <w:rsid w:val="00EF6B55"/>
    <w:rPr>
      <w:rFonts w:ascii="Arial" w:eastAsia="Times New Roman" w:hAnsi="Arial" w:cs="Times New Roman"/>
      <w:b/>
      <w:bCs/>
      <w:sz w:val="20"/>
      <w:szCs w:val="20"/>
      <w:lang w:val="en-GB" w:eastAsia="zh-CN"/>
    </w:rPr>
  </w:style>
  <w:style w:type="paragraph" w:styleId="Revision">
    <w:name w:val="Revision"/>
    <w:hidden/>
    <w:uiPriority w:val="99"/>
    <w:semiHidden/>
    <w:rsid w:val="00D9246C"/>
    <w:pPr>
      <w:spacing w:after="0" w:line="240" w:lineRule="auto"/>
    </w:pPr>
    <w:rPr>
      <w:rFonts w:ascii="Arial" w:eastAsia="Times New Roman" w:hAnsi="Arial"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77E761-7190-48C1-9170-A29FC39FB6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2096</Words>
  <Characters>11951</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14019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MoonIl Lee</cp:lastModifiedBy>
  <cp:revision>2</cp:revision>
  <dcterms:created xsi:type="dcterms:W3CDTF">2021-10-01T23:08:00Z</dcterms:created>
  <dcterms:modified xsi:type="dcterms:W3CDTF">2021-10-01T23:08:00Z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